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97DB47" w14:textId="77777777" w:rsidR="002C05DF" w:rsidRDefault="00000000">
      <w:pPr>
        <w:pStyle w:val="Title"/>
        <w:spacing w:after="200"/>
      </w:pPr>
      <w:r>
        <w:t>1.1 Million People in Harris County Didn't Vote in 2024. Here's What That Costs Everybody.</w:t>
      </w:r>
    </w:p>
    <w:p w14:paraId="6BC423DB" w14:textId="344FC27C" w:rsidR="002C05DF" w:rsidRDefault="00000000">
      <w:pPr>
        <w:spacing w:after="200"/>
      </w:pPr>
      <w:r>
        <w:rPr>
          <w:i/>
          <w:iCs/>
        </w:rPr>
        <w:t xml:space="preserve">Part 3 </w:t>
      </w:r>
      <w:r w:rsidR="00D23EF6">
        <w:rPr>
          <w:i/>
          <w:iCs/>
        </w:rPr>
        <w:t xml:space="preserve">(Harris) </w:t>
      </w:r>
      <w:r>
        <w:rPr>
          <w:i/>
          <w:iCs/>
        </w:rPr>
        <w:t>of a four-part series on what the research actually shows about voting in Texas.</w:t>
      </w:r>
    </w:p>
    <w:p w14:paraId="5EA08C6E" w14:textId="77777777" w:rsidR="002C05DF" w:rsidRDefault="00000000">
      <w:pPr>
        <w:spacing w:after="200"/>
      </w:pPr>
      <w:r>
        <w:t>A #46 ranking sounds like an abstraction until you look at what it produces: specific people not voting, specific health outcomes, and a specific economic ranking that costs the state real ground. Here's each one.</w:t>
      </w:r>
    </w:p>
    <w:p w14:paraId="50384C2D" w14:textId="77777777" w:rsidR="002C05DF" w:rsidRDefault="00000000">
      <w:pPr>
        <w:pStyle w:val="Heading1"/>
        <w:spacing w:before="300" w:after="150"/>
      </w:pPr>
      <w:r>
        <w:t>Start with one county</w:t>
      </w:r>
    </w:p>
    <w:p w14:paraId="1ACF29A0" w14:textId="77777777" w:rsidR="002C05DF" w:rsidRDefault="00000000">
      <w:pPr>
        <w:spacing w:after="200"/>
      </w:pPr>
      <w:r>
        <w:t>Harris County, 2024:</w:t>
      </w:r>
    </w:p>
    <w:p w14:paraId="187C9959" w14:textId="77777777" w:rsidR="002C05DF" w:rsidRDefault="00000000">
      <w:pPr>
        <w:pStyle w:val="ListParagraph"/>
        <w:numPr>
          <w:ilvl w:val="0"/>
          <w:numId w:val="1"/>
        </w:numPr>
        <w:spacing w:after="80"/>
      </w:pPr>
      <w:r>
        <w:rPr>
          <w:b/>
          <w:bCs/>
        </w:rPr>
        <w:t>2.6 million</w:t>
      </w:r>
      <w:r>
        <w:t xml:space="preserve"> registered voters</w:t>
      </w:r>
    </w:p>
    <w:p w14:paraId="7F13A3F9" w14:textId="77777777" w:rsidR="002C05DF" w:rsidRDefault="00000000">
      <w:pPr>
        <w:pStyle w:val="ListParagraph"/>
        <w:numPr>
          <w:ilvl w:val="0"/>
          <w:numId w:val="1"/>
        </w:numPr>
        <w:spacing w:after="80"/>
      </w:pPr>
      <w:r>
        <w:rPr>
          <w:b/>
          <w:bCs/>
        </w:rPr>
        <w:t>1.5 million</w:t>
      </w:r>
      <w:r>
        <w:t xml:space="preserve"> cast a ballot</w:t>
      </w:r>
    </w:p>
    <w:p w14:paraId="2F8693F3" w14:textId="77777777" w:rsidR="002C05DF" w:rsidRDefault="00000000">
      <w:pPr>
        <w:pStyle w:val="ListParagraph"/>
        <w:numPr>
          <w:ilvl w:val="0"/>
          <w:numId w:val="1"/>
        </w:numPr>
        <w:spacing w:after="80"/>
      </w:pPr>
      <w:r>
        <w:rPr>
          <w:b/>
          <w:bCs/>
        </w:rPr>
        <w:t>~1.1 million</w:t>
      </w:r>
      <w:r>
        <w:t xml:space="preserve"> stayed home</w:t>
      </w:r>
    </w:p>
    <w:p w14:paraId="58E69AEE" w14:textId="77777777" w:rsidR="002C05DF" w:rsidRDefault="00000000">
      <w:pPr>
        <w:spacing w:after="200"/>
      </w:pPr>
      <w:r>
        <w:t>That's 58.6% turnout among people already registered — down from 68.1% in 2020. A ten-point drop in four years.</w:t>
      </w:r>
    </w:p>
    <w:p w14:paraId="21D28B82" w14:textId="77777777" w:rsidR="002C05DF" w:rsidRDefault="00000000">
      <w:pPr>
        <w:spacing w:after="200"/>
      </w:pPr>
      <w:r>
        <w:t>The 1.1 million who didn't vote aren't randomly distributed. Surveys of Harris County residents found the groups least likely to vote were:</w:t>
      </w:r>
    </w:p>
    <w:p w14:paraId="253EB50C" w14:textId="77777777" w:rsidR="002C05DF" w:rsidRDefault="00000000">
      <w:pPr>
        <w:pStyle w:val="ListParagraph"/>
        <w:numPr>
          <w:ilvl w:val="0"/>
          <w:numId w:val="1"/>
        </w:numPr>
        <w:spacing w:after="80"/>
      </w:pPr>
      <w:r>
        <w:rPr>
          <w:b/>
          <w:bCs/>
        </w:rPr>
        <w:t>Hispanic voters</w:t>
      </w:r>
      <w:r>
        <w:t xml:space="preserve"> — 51% said they were unlikely to vote, the largest share of non-participants</w:t>
      </w:r>
    </w:p>
    <w:p w14:paraId="71B45763" w14:textId="77777777" w:rsidR="002C05DF" w:rsidRDefault="00000000">
      <w:pPr>
        <w:pStyle w:val="ListParagraph"/>
        <w:numPr>
          <w:ilvl w:val="0"/>
          <w:numId w:val="1"/>
        </w:numPr>
        <w:spacing w:after="80"/>
      </w:pPr>
      <w:r>
        <w:rPr>
          <w:b/>
          <w:bCs/>
        </w:rPr>
        <w:t>Young adults, 18–29</w:t>
      </w:r>
      <w:r>
        <w:t xml:space="preserve"> — 48% unlikely</w:t>
      </w:r>
    </w:p>
    <w:p w14:paraId="2E895C7D" w14:textId="77777777" w:rsidR="002C05DF" w:rsidRDefault="00000000">
      <w:pPr>
        <w:pStyle w:val="ListParagraph"/>
        <w:numPr>
          <w:ilvl w:val="0"/>
          <w:numId w:val="1"/>
        </w:numPr>
        <w:spacing w:after="80"/>
      </w:pPr>
      <w:r>
        <w:rPr>
          <w:b/>
          <w:bCs/>
        </w:rPr>
        <w:t>Independent voters</w:t>
      </w:r>
      <w:r>
        <w:t xml:space="preserve"> — 47% unlikely, and the hardest group to reach without party infrastructure</w:t>
      </w:r>
    </w:p>
    <w:p w14:paraId="66ADF40F" w14:textId="77777777" w:rsidR="002C05DF" w:rsidRDefault="00000000">
      <w:pPr>
        <w:spacing w:after="200"/>
      </w:pPr>
      <w:r>
        <w:t>The geographic gap is just as stark. In the East Houston/Hobby area, about 40% of residents said they were likely to vote. In The Heights, about 90%. A fifty-point gap between two neighborhoods in the same county.</w:t>
      </w:r>
    </w:p>
    <w:p w14:paraId="3A78DCAF" w14:textId="77777777" w:rsidR="002C05DF" w:rsidRDefault="00000000">
      <w:pPr>
        <w:spacing w:after="200"/>
      </w:pPr>
      <w:r>
        <w:t>Line that up against the specific barriers from Part 1, and the pattern isn't subtle:</w:t>
      </w:r>
    </w:p>
    <w:p w14:paraId="49B6FB5E" w14:textId="77777777" w:rsidR="002C05DF" w:rsidRDefault="00000000">
      <w:pPr>
        <w:pStyle w:val="ListParagraph"/>
        <w:numPr>
          <w:ilvl w:val="0"/>
          <w:numId w:val="1"/>
        </w:numPr>
        <w:spacing w:after="80"/>
      </w:pPr>
      <w:r>
        <w:t xml:space="preserve">The </w:t>
      </w:r>
      <w:r>
        <w:rPr>
          <w:b/>
          <w:bCs/>
        </w:rPr>
        <w:t>30-day registration deadline</w:t>
      </w:r>
      <w:r>
        <w:t xml:space="preserve"> hits young adults and people who've recently moved hardest — exactly the lowest-turnout groups.</w:t>
      </w:r>
    </w:p>
    <w:p w14:paraId="0BD61E2B" w14:textId="77777777" w:rsidR="002C05DF" w:rsidRDefault="00000000">
      <w:pPr>
        <w:pStyle w:val="ListParagraph"/>
        <w:numPr>
          <w:ilvl w:val="0"/>
          <w:numId w:val="1"/>
        </w:numPr>
        <w:spacing w:after="80"/>
      </w:pPr>
      <w:r>
        <w:rPr>
          <w:b/>
          <w:bCs/>
        </w:rPr>
        <w:t>No online registration</w:t>
      </w:r>
      <w:r>
        <w:t xml:space="preserve"> means paper forms — a real obstacle for time-pressed voters without printer access.</w:t>
      </w:r>
    </w:p>
    <w:p w14:paraId="30500302" w14:textId="77777777" w:rsidR="002C05DF" w:rsidRDefault="00000000">
      <w:pPr>
        <w:pStyle w:val="ListParagraph"/>
        <w:numPr>
          <w:ilvl w:val="0"/>
          <w:numId w:val="1"/>
        </w:numPr>
        <w:spacing w:after="80"/>
      </w:pPr>
      <w:r>
        <w:rPr>
          <w:b/>
          <w:bCs/>
        </w:rPr>
        <w:t>No automatic DMV registration</w:t>
      </w:r>
      <w:r>
        <w:t xml:space="preserve"> is a major reason an estimated </w:t>
      </w:r>
      <w:r>
        <w:rPr>
          <w:b/>
          <w:bCs/>
        </w:rPr>
        <w:t>2 to 3 million eligible Texans aren't registered at all</w:t>
      </w:r>
      <w:r>
        <w:t xml:space="preserve"> — disproportionately Hispanic and young.</w:t>
      </w:r>
    </w:p>
    <w:p w14:paraId="08901DBA" w14:textId="77777777" w:rsidR="002C05DF" w:rsidRDefault="00000000">
      <w:pPr>
        <w:pStyle w:val="ListParagraph"/>
        <w:numPr>
          <w:ilvl w:val="0"/>
          <w:numId w:val="1"/>
        </w:numPr>
        <w:spacing w:after="80"/>
      </w:pPr>
      <w:r>
        <w:rPr>
          <w:b/>
          <w:bCs/>
        </w:rPr>
        <w:t>Reduced polling locations</w:t>
      </w:r>
      <w:r>
        <w:t xml:space="preserve"> concentrate wait times in specific neighborhoods.</w:t>
      </w:r>
    </w:p>
    <w:p w14:paraId="1BD10C50" w14:textId="77777777" w:rsidR="002C05DF" w:rsidRDefault="00000000">
      <w:pPr>
        <w:spacing w:after="200"/>
      </w:pPr>
      <w:r>
        <w:t>The people the index says are most burdened by these rules are, in the data, the same people not voting.</w:t>
      </w:r>
    </w:p>
    <w:p w14:paraId="3DD22531" w14:textId="77777777" w:rsidR="002C05DF" w:rsidRDefault="00000000">
      <w:pPr>
        <w:pStyle w:val="Heading1"/>
        <w:spacing w:before="300" w:after="150"/>
      </w:pPr>
      <w:r>
        <w:t>Then look at health outcomes</w:t>
      </w:r>
    </w:p>
    <w:p w14:paraId="41E99142" w14:textId="77777777" w:rsidR="002C05DF" w:rsidRDefault="00000000">
      <w:pPr>
        <w:spacing w:after="200"/>
      </w:pPr>
      <w:r>
        <w:t>This is the part that tends to surprise people, so here's the research plainly, without editorializing:</w:t>
      </w:r>
    </w:p>
    <w:p w14:paraId="38765D41" w14:textId="77777777" w:rsidR="002C05DF" w:rsidRDefault="00000000">
      <w:pPr>
        <w:pStyle w:val="ListParagraph"/>
        <w:numPr>
          <w:ilvl w:val="0"/>
          <w:numId w:val="1"/>
        </w:numPr>
        <w:spacing w:after="80"/>
      </w:pPr>
      <w:r>
        <w:rPr>
          <w:b/>
          <w:bCs/>
        </w:rPr>
        <w:t>Schraufnagel (2023),</w:t>
      </w:r>
      <w:r>
        <w:t xml:space="preserve"> </w:t>
      </w:r>
      <w:r>
        <w:rPr>
          <w:i/>
          <w:iCs/>
        </w:rPr>
        <w:t>State &amp; Local Government Review</w:t>
      </w:r>
      <w:r>
        <w:t xml:space="preserve"> — used the Cost of Voting Index across 25 years of data, controlling for income and education, and found a robust statistical relationship between voting restrictions and a state's public health scores.</w:t>
      </w:r>
    </w:p>
    <w:p w14:paraId="2FE45D02" w14:textId="77777777" w:rsidR="002C05DF" w:rsidRDefault="00000000">
      <w:pPr>
        <w:pStyle w:val="ListParagraph"/>
        <w:numPr>
          <w:ilvl w:val="0"/>
          <w:numId w:val="1"/>
        </w:numPr>
        <w:spacing w:after="80"/>
      </w:pPr>
      <w:r>
        <w:rPr>
          <w:b/>
          <w:bCs/>
        </w:rPr>
        <w:t>Avila et al. (2021),</w:t>
      </w:r>
      <w:r>
        <w:t xml:space="preserve"> </w:t>
      </w:r>
      <w:r>
        <w:rPr>
          <w:i/>
          <w:iCs/>
        </w:rPr>
        <w:t>The Lancet Regional Health</w:t>
      </w:r>
      <w:r>
        <w:t xml:space="preserve"> — each one-standard-deviation increase in a state's COVI score raised the odds of being uninsured by 25% (n = 242,727). The effect was largest among Black Americans and low-income households.</w:t>
      </w:r>
    </w:p>
    <w:p w14:paraId="66D0D9C2" w14:textId="77777777" w:rsidR="002C05DF" w:rsidRDefault="00000000">
      <w:pPr>
        <w:pStyle w:val="ListParagraph"/>
        <w:numPr>
          <w:ilvl w:val="0"/>
          <w:numId w:val="1"/>
        </w:numPr>
        <w:spacing w:after="80"/>
      </w:pPr>
      <w:r>
        <w:rPr>
          <w:b/>
          <w:bCs/>
        </w:rPr>
        <w:lastRenderedPageBreak/>
        <w:t>Pabayo et al. (2022),</w:t>
      </w:r>
      <w:r>
        <w:t xml:space="preserve"> </w:t>
      </w:r>
      <w:r>
        <w:rPr>
          <w:i/>
          <w:iCs/>
        </w:rPr>
        <w:t>PLOS ONE</w:t>
      </w:r>
      <w:r>
        <w:t xml:space="preserve"> — higher COVI scores were associated with higher COVID-19 case and mortality rates at the county level, strongest in counties with larger Black populations.</w:t>
      </w:r>
    </w:p>
    <w:p w14:paraId="753EE4FB" w14:textId="77777777" w:rsidR="002C05DF" w:rsidRDefault="00000000">
      <w:pPr>
        <w:spacing w:after="200"/>
      </w:pPr>
      <w:r>
        <w:t>The proposed mechanism isn't mysterious: people vote on Medicaid expansion, insurance regulation, and public health funding. When structural barriers keep eligible voters — disproportionately low-income and voters of color — from the polls, those policies end up with fewer political champions.</w:t>
      </w:r>
    </w:p>
    <w:p w14:paraId="08E3548B" w14:textId="77777777" w:rsidR="002C05DF" w:rsidRDefault="00000000">
      <w:pPr>
        <w:pStyle w:val="Heading1"/>
        <w:spacing w:before="300" w:after="150"/>
      </w:pPr>
      <w:r>
        <w:t>Then look at what it costs the state's reputation</w:t>
      </w:r>
    </w:p>
    <w:p w14:paraId="142F066E" w14:textId="77777777" w:rsidR="002C05DF" w:rsidRDefault="00000000">
      <w:pPr>
        <w:spacing w:after="200"/>
      </w:pPr>
      <w:r>
        <w:t xml:space="preserve">Texas's 2026 CNBC business rankings, released this week, tell an odd story: </w:t>
      </w:r>
      <w:r>
        <w:rPr>
          <w:b/>
          <w:bCs/>
        </w:rPr>
        <w:t>#4 for overall business climate</w:t>
      </w:r>
      <w:r>
        <w:t xml:space="preserve">, but </w:t>
      </w:r>
      <w:r>
        <w:rPr>
          <w:b/>
          <w:bCs/>
        </w:rPr>
        <w:t>#49 for Quality of Life</w:t>
      </w:r>
      <w:r>
        <w:t xml:space="preserve"> — a category that explicitly folds in voting-rights data from the Cost of Voting Index. CNBC's Scott Cohn cited poor healthcare access, high crime, and a lack of inclusiveness. Ohio took the #1 overall spot this year in part </w:t>
      </w:r>
      <w:r>
        <w:rPr>
          <w:i/>
          <w:iCs/>
        </w:rPr>
        <w:t>because</w:t>
      </w:r>
      <w:r>
        <w:t xml:space="preserve"> Texas's #49 Quality of Life score cost it the top ranking — despite Texas ranking #1 for workforce and #2 for economy.</w:t>
      </w:r>
    </w:p>
    <w:p w14:paraId="6B166AB2" w14:textId="77777777" w:rsidR="002C05DF" w:rsidRDefault="00000000">
      <w:pPr>
        <w:spacing w:after="200"/>
      </w:pPr>
      <w:r>
        <w:t>The broader scorecard tells a consistent story:</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000"/>
        <w:gridCol w:w="3000"/>
      </w:tblGrid>
      <w:tr w:rsidR="002C05DF" w14:paraId="76A9F956" w14:textId="77777777">
        <w:tc>
          <w:tcPr>
            <w:tcW w:w="3000" w:type="dxa"/>
            <w:shd w:val="clear" w:color="auto" w:fill="1F3864"/>
            <w:tcMar>
              <w:top w:w="80" w:type="dxa"/>
              <w:left w:w="120" w:type="dxa"/>
              <w:bottom w:w="80" w:type="dxa"/>
              <w:right w:w="120" w:type="dxa"/>
            </w:tcMar>
          </w:tcPr>
          <w:p w14:paraId="56082C78" w14:textId="77777777" w:rsidR="002C05DF" w:rsidRDefault="00000000">
            <w:r>
              <w:rPr>
                <w:b/>
                <w:bCs/>
                <w:color w:val="FFFFFF"/>
              </w:rPr>
              <w:t>Metric</w:t>
            </w:r>
          </w:p>
        </w:tc>
        <w:tc>
          <w:tcPr>
            <w:tcW w:w="3000" w:type="dxa"/>
            <w:shd w:val="clear" w:color="auto" w:fill="1F3864"/>
            <w:tcMar>
              <w:top w:w="80" w:type="dxa"/>
              <w:left w:w="120" w:type="dxa"/>
              <w:bottom w:w="80" w:type="dxa"/>
              <w:right w:w="120" w:type="dxa"/>
            </w:tcMar>
          </w:tcPr>
          <w:p w14:paraId="129ED089" w14:textId="77777777" w:rsidR="002C05DF" w:rsidRDefault="00000000">
            <w:r>
              <w:rPr>
                <w:b/>
                <w:bCs/>
                <w:color w:val="FFFFFF"/>
              </w:rPr>
              <w:t>Texas rank/figure</w:t>
            </w:r>
          </w:p>
        </w:tc>
        <w:tc>
          <w:tcPr>
            <w:tcW w:w="3000" w:type="dxa"/>
            <w:shd w:val="clear" w:color="auto" w:fill="1F3864"/>
            <w:tcMar>
              <w:top w:w="80" w:type="dxa"/>
              <w:left w:w="120" w:type="dxa"/>
              <w:bottom w:w="80" w:type="dxa"/>
              <w:right w:w="120" w:type="dxa"/>
            </w:tcMar>
          </w:tcPr>
          <w:p w14:paraId="71B2E28C" w14:textId="77777777" w:rsidR="002C05DF" w:rsidRDefault="00000000">
            <w:r>
              <w:rPr>
                <w:b/>
                <w:bCs/>
                <w:color w:val="FFFFFF"/>
              </w:rPr>
              <w:t>Source</w:t>
            </w:r>
          </w:p>
        </w:tc>
      </w:tr>
      <w:tr w:rsidR="002C05DF" w14:paraId="76C74431" w14:textId="77777777">
        <w:tc>
          <w:tcPr>
            <w:tcW w:w="3000" w:type="dxa"/>
            <w:tcMar>
              <w:top w:w="80" w:type="dxa"/>
              <w:left w:w="120" w:type="dxa"/>
              <w:bottom w:w="80" w:type="dxa"/>
              <w:right w:w="120" w:type="dxa"/>
            </w:tcMar>
          </w:tcPr>
          <w:p w14:paraId="71CF4868" w14:textId="77777777" w:rsidR="002C05DF" w:rsidRDefault="00000000">
            <w:r>
              <w:t>Quality of Life</w:t>
            </w:r>
          </w:p>
        </w:tc>
        <w:tc>
          <w:tcPr>
            <w:tcW w:w="3000" w:type="dxa"/>
            <w:tcMar>
              <w:top w:w="80" w:type="dxa"/>
              <w:left w:w="120" w:type="dxa"/>
              <w:bottom w:w="80" w:type="dxa"/>
              <w:right w:w="120" w:type="dxa"/>
            </w:tcMar>
          </w:tcPr>
          <w:p w14:paraId="3819BAD6" w14:textId="77777777" w:rsidR="002C05DF" w:rsidRDefault="00000000">
            <w:r>
              <w:t>#49</w:t>
            </w:r>
          </w:p>
        </w:tc>
        <w:tc>
          <w:tcPr>
            <w:tcW w:w="3000" w:type="dxa"/>
            <w:tcMar>
              <w:top w:w="80" w:type="dxa"/>
              <w:left w:w="120" w:type="dxa"/>
              <w:bottom w:w="80" w:type="dxa"/>
              <w:right w:w="120" w:type="dxa"/>
            </w:tcMar>
          </w:tcPr>
          <w:p w14:paraId="4E2183BA" w14:textId="77777777" w:rsidR="002C05DF" w:rsidRDefault="00000000">
            <w:r>
              <w:t>CNBC 2026</w:t>
            </w:r>
          </w:p>
        </w:tc>
      </w:tr>
      <w:tr w:rsidR="002C05DF" w14:paraId="19E47C2B" w14:textId="77777777">
        <w:tc>
          <w:tcPr>
            <w:tcW w:w="3000" w:type="dxa"/>
            <w:tcMar>
              <w:top w:w="80" w:type="dxa"/>
              <w:left w:w="120" w:type="dxa"/>
              <w:bottom w:w="80" w:type="dxa"/>
              <w:right w:w="120" w:type="dxa"/>
            </w:tcMar>
          </w:tcPr>
          <w:p w14:paraId="559012E5" w14:textId="77777777" w:rsidR="002C05DF" w:rsidRDefault="00000000">
            <w:r>
              <w:t>Healthcare</w:t>
            </w:r>
          </w:p>
        </w:tc>
        <w:tc>
          <w:tcPr>
            <w:tcW w:w="3000" w:type="dxa"/>
            <w:tcMar>
              <w:top w:w="80" w:type="dxa"/>
              <w:left w:w="120" w:type="dxa"/>
              <w:bottom w:w="80" w:type="dxa"/>
              <w:right w:w="120" w:type="dxa"/>
            </w:tcMar>
          </w:tcPr>
          <w:p w14:paraId="1331C837" w14:textId="77777777" w:rsidR="002C05DF" w:rsidRDefault="00000000">
            <w:r>
              <w:t>#50 (dead last)</w:t>
            </w:r>
          </w:p>
        </w:tc>
        <w:tc>
          <w:tcPr>
            <w:tcW w:w="3000" w:type="dxa"/>
            <w:tcMar>
              <w:top w:w="80" w:type="dxa"/>
              <w:left w:w="120" w:type="dxa"/>
              <w:bottom w:w="80" w:type="dxa"/>
              <w:right w:w="120" w:type="dxa"/>
            </w:tcMar>
          </w:tcPr>
          <w:p w14:paraId="77DAA478" w14:textId="77777777" w:rsidR="002C05DF" w:rsidRDefault="00000000">
            <w:r>
              <w:t>Bankrate Best States 2025</w:t>
            </w:r>
          </w:p>
        </w:tc>
      </w:tr>
      <w:tr w:rsidR="002C05DF" w14:paraId="73F8ADC5" w14:textId="77777777">
        <w:tc>
          <w:tcPr>
            <w:tcW w:w="3000" w:type="dxa"/>
            <w:tcMar>
              <w:top w:w="80" w:type="dxa"/>
              <w:left w:w="120" w:type="dxa"/>
              <w:bottom w:w="80" w:type="dxa"/>
              <w:right w:w="120" w:type="dxa"/>
            </w:tcMar>
          </w:tcPr>
          <w:p w14:paraId="6D7C38BD" w14:textId="77777777" w:rsidR="002C05DF" w:rsidRDefault="00000000">
            <w:r>
              <w:t>Health Outcomes</w:t>
            </w:r>
          </w:p>
        </w:tc>
        <w:tc>
          <w:tcPr>
            <w:tcW w:w="3000" w:type="dxa"/>
            <w:tcMar>
              <w:top w:w="80" w:type="dxa"/>
              <w:left w:w="120" w:type="dxa"/>
              <w:bottom w:w="80" w:type="dxa"/>
              <w:right w:w="120" w:type="dxa"/>
            </w:tcMar>
          </w:tcPr>
          <w:p w14:paraId="51999090" w14:textId="77777777" w:rsidR="002C05DF" w:rsidRDefault="00000000">
            <w:r>
              <w:t>#41</w:t>
            </w:r>
          </w:p>
        </w:tc>
        <w:tc>
          <w:tcPr>
            <w:tcW w:w="3000" w:type="dxa"/>
            <w:tcMar>
              <w:top w:w="80" w:type="dxa"/>
              <w:left w:w="120" w:type="dxa"/>
              <w:bottom w:w="80" w:type="dxa"/>
              <w:right w:w="120" w:type="dxa"/>
            </w:tcMar>
          </w:tcPr>
          <w:p w14:paraId="0B4BBF5B" w14:textId="77777777" w:rsidR="002C05DF" w:rsidRDefault="00000000">
            <w:r>
              <w:t>America's Health Rankings 2025</w:t>
            </w:r>
          </w:p>
        </w:tc>
      </w:tr>
      <w:tr w:rsidR="002C05DF" w14:paraId="0C4C3B82" w14:textId="77777777">
        <w:tc>
          <w:tcPr>
            <w:tcW w:w="3000" w:type="dxa"/>
            <w:tcMar>
              <w:top w:w="80" w:type="dxa"/>
              <w:left w:w="120" w:type="dxa"/>
              <w:bottom w:w="80" w:type="dxa"/>
              <w:right w:w="120" w:type="dxa"/>
            </w:tcMar>
          </w:tcPr>
          <w:p w14:paraId="262F42BF" w14:textId="77777777" w:rsidR="002C05DF" w:rsidRDefault="00000000">
            <w:r>
              <w:t>Best State to Live</w:t>
            </w:r>
          </w:p>
        </w:tc>
        <w:tc>
          <w:tcPr>
            <w:tcW w:w="3000" w:type="dxa"/>
            <w:tcMar>
              <w:top w:w="80" w:type="dxa"/>
              <w:left w:w="120" w:type="dxa"/>
              <w:bottom w:w="80" w:type="dxa"/>
              <w:right w:w="120" w:type="dxa"/>
            </w:tcMar>
          </w:tcPr>
          <w:p w14:paraId="7E206DAD" w14:textId="77777777" w:rsidR="002C05DF" w:rsidRDefault="00000000">
            <w:r>
              <w:t>#37</w:t>
            </w:r>
          </w:p>
        </w:tc>
        <w:tc>
          <w:tcPr>
            <w:tcW w:w="3000" w:type="dxa"/>
            <w:tcMar>
              <w:top w:w="80" w:type="dxa"/>
              <w:left w:w="120" w:type="dxa"/>
              <w:bottom w:w="80" w:type="dxa"/>
              <w:right w:w="120" w:type="dxa"/>
            </w:tcMar>
          </w:tcPr>
          <w:p w14:paraId="3D1C9350" w14:textId="77777777" w:rsidR="002C05DF" w:rsidRDefault="00000000">
            <w:r>
              <w:t>WalletHub 2024</w:t>
            </w:r>
          </w:p>
        </w:tc>
      </w:tr>
      <w:tr w:rsidR="002C05DF" w14:paraId="5BBFDD7A" w14:textId="77777777">
        <w:tc>
          <w:tcPr>
            <w:tcW w:w="3000" w:type="dxa"/>
            <w:tcMar>
              <w:top w:w="80" w:type="dxa"/>
              <w:left w:w="120" w:type="dxa"/>
              <w:bottom w:w="80" w:type="dxa"/>
              <w:right w:w="120" w:type="dxa"/>
            </w:tcMar>
          </w:tcPr>
          <w:p w14:paraId="63939CBA" w14:textId="77777777" w:rsidR="002C05DF" w:rsidRDefault="00000000">
            <w:r>
              <w:t>Poverty rate</w:t>
            </w:r>
          </w:p>
        </w:tc>
        <w:tc>
          <w:tcPr>
            <w:tcW w:w="3000" w:type="dxa"/>
            <w:tcMar>
              <w:top w:w="80" w:type="dxa"/>
              <w:left w:w="120" w:type="dxa"/>
              <w:bottom w:w="80" w:type="dxa"/>
              <w:right w:w="120" w:type="dxa"/>
            </w:tcMar>
          </w:tcPr>
          <w:p w14:paraId="30F075BF" w14:textId="77777777" w:rsidR="002C05DF" w:rsidRDefault="00000000">
            <w:r>
              <w:t>13.4% (nat'l avg. 12.1%; Houston 14.4%)</w:t>
            </w:r>
          </w:p>
        </w:tc>
        <w:tc>
          <w:tcPr>
            <w:tcW w:w="3000" w:type="dxa"/>
            <w:tcMar>
              <w:top w:w="80" w:type="dxa"/>
              <w:left w:w="120" w:type="dxa"/>
              <w:bottom w:w="80" w:type="dxa"/>
              <w:right w:w="120" w:type="dxa"/>
            </w:tcMar>
          </w:tcPr>
          <w:p w14:paraId="13E1E2A0" w14:textId="77777777" w:rsidR="002C05DF" w:rsidRDefault="00000000">
            <w:r>
              <w:t>Census ACS 2024</w:t>
            </w:r>
          </w:p>
        </w:tc>
      </w:tr>
      <w:tr w:rsidR="002C05DF" w14:paraId="70EAE12B" w14:textId="77777777">
        <w:tc>
          <w:tcPr>
            <w:tcW w:w="3000" w:type="dxa"/>
            <w:tcMar>
              <w:top w:w="80" w:type="dxa"/>
              <w:left w:w="120" w:type="dxa"/>
              <w:bottom w:w="80" w:type="dxa"/>
              <w:right w:w="120" w:type="dxa"/>
            </w:tcMar>
          </w:tcPr>
          <w:p w14:paraId="6AA08ADA" w14:textId="77777777" w:rsidR="002C05DF" w:rsidRDefault="00000000">
            <w:r>
              <w:t>Domestic in-migration</w:t>
            </w:r>
          </w:p>
        </w:tc>
        <w:tc>
          <w:tcPr>
            <w:tcW w:w="3000" w:type="dxa"/>
            <w:tcMar>
              <w:top w:w="80" w:type="dxa"/>
              <w:left w:w="120" w:type="dxa"/>
              <w:bottom w:w="80" w:type="dxa"/>
              <w:right w:w="120" w:type="dxa"/>
            </w:tcMar>
          </w:tcPr>
          <w:p w14:paraId="2BFBBEDD" w14:textId="77777777" w:rsidR="002C05DF" w:rsidRDefault="00000000">
            <w:r>
              <w:t>Down from 222,154 (2022) to 67,299 (2025)</w:t>
            </w:r>
          </w:p>
        </w:tc>
        <w:tc>
          <w:tcPr>
            <w:tcW w:w="3000" w:type="dxa"/>
            <w:tcMar>
              <w:top w:w="80" w:type="dxa"/>
              <w:left w:w="120" w:type="dxa"/>
              <w:bottom w:w="80" w:type="dxa"/>
              <w:right w:w="120" w:type="dxa"/>
            </w:tcMar>
          </w:tcPr>
          <w:p w14:paraId="73D5ECD0" w14:textId="77777777" w:rsidR="002C05DF" w:rsidRDefault="00000000">
            <w:r>
              <w:t>Census Vintage 2025</w:t>
            </w:r>
          </w:p>
        </w:tc>
      </w:tr>
    </w:tbl>
    <w:p w14:paraId="7DCD2754" w14:textId="77777777" w:rsidR="002C05DF" w:rsidRDefault="002C05DF">
      <w:pPr>
        <w:spacing w:after="200"/>
      </w:pPr>
    </w:p>
    <w:p w14:paraId="426AB355" w14:textId="77777777" w:rsidR="002C05DF" w:rsidRDefault="00000000">
      <w:pPr>
        <w:spacing w:after="200"/>
      </w:pPr>
      <w:r>
        <w:t>Texas has the tax advantage. It doesn't have the quality-of-life advantage — and the migration numbers suggest people are starting to notice.</w:t>
      </w:r>
    </w:p>
    <w:p w14:paraId="126E9A6D" w14:textId="77777777" w:rsidR="002C05DF" w:rsidRDefault="00000000">
      <w:pPr>
        <w:pStyle w:val="Heading1"/>
        <w:spacing w:before="300" w:after="150"/>
      </w:pPr>
      <w:r>
        <w:t>The reforms already exist — and Republican-led states adopted them</w:t>
      </w:r>
    </w:p>
    <w:p w14:paraId="3826F335" w14:textId="77777777" w:rsidR="002C05DF" w:rsidRDefault="00000000">
      <w:pPr>
        <w:spacing w:after="200"/>
      </w:pPr>
      <w:r>
        <w:t>This is the part that undercuts the idea that fixing any of this requires some partisan leap. Every reform below was adopted by a Republican-led state, and every one saves money. Texas has implemented none of them statewide:</w:t>
      </w:r>
    </w:p>
    <w:p w14:paraId="494D0727" w14:textId="77777777" w:rsidR="002C05DF" w:rsidRDefault="00000000">
      <w:pPr>
        <w:pStyle w:val="ListParagraph"/>
        <w:numPr>
          <w:ilvl w:val="0"/>
          <w:numId w:val="1"/>
        </w:numPr>
        <w:spacing w:after="80"/>
      </w:pPr>
      <w:r>
        <w:rPr>
          <w:b/>
          <w:bCs/>
        </w:rPr>
        <w:t>Online voter registration</w:t>
      </w:r>
      <w:r>
        <w:t xml:space="preserve"> — Arizona (2002), Georgia, Florida, Utah, Kansas, Louisiana. Cost per registration: 3¢ online vs. 83¢ on paper (Maricopa County, AZ), which saved the equivalent of 8 full-time staff positions in year one. 40 states have this. Texas is one of 7 that don't.</w:t>
      </w:r>
    </w:p>
    <w:p w14:paraId="2B184746" w14:textId="77777777" w:rsidR="002C05DF" w:rsidRDefault="00000000">
      <w:pPr>
        <w:pStyle w:val="ListParagraph"/>
        <w:numPr>
          <w:ilvl w:val="0"/>
          <w:numId w:val="1"/>
        </w:numPr>
        <w:spacing w:after="80"/>
      </w:pPr>
      <w:r>
        <w:rPr>
          <w:b/>
          <w:bCs/>
        </w:rPr>
        <w:t>Automatic voter registration</w:t>
      </w:r>
      <w:r>
        <w:t xml:space="preserve"> — Georgia, Alaska, Utah, West Virginia, Arkansas. Georgia's registration rate nearly doubled; Delaware saved $200,000 in year one, partly from fewer provisional ballots.</w:t>
      </w:r>
    </w:p>
    <w:p w14:paraId="5D7315AE" w14:textId="77777777" w:rsidR="002C05DF" w:rsidRDefault="00000000">
      <w:pPr>
        <w:pStyle w:val="ListParagraph"/>
        <w:numPr>
          <w:ilvl w:val="0"/>
          <w:numId w:val="1"/>
        </w:numPr>
        <w:spacing w:after="80"/>
      </w:pPr>
      <w:r>
        <w:rPr>
          <w:b/>
          <w:bCs/>
        </w:rPr>
        <w:t>County-wide vote centers</w:t>
      </w:r>
      <w:r>
        <w:t xml:space="preserve"> — Utah, Arizona, Indiana, and already 99 Texas counties, including Dallas, Harris, and Bexar. Extending it statewide would cut per-precinct costs and eliminate wrong-precinct rejections.</w:t>
      </w:r>
    </w:p>
    <w:p w14:paraId="23139878" w14:textId="77777777" w:rsidR="002C05DF" w:rsidRDefault="00000000">
      <w:pPr>
        <w:pStyle w:val="ListParagraph"/>
        <w:numPr>
          <w:ilvl w:val="0"/>
          <w:numId w:val="1"/>
        </w:numPr>
        <w:spacing w:after="80"/>
      </w:pPr>
      <w:r>
        <w:rPr>
          <w:b/>
          <w:bCs/>
        </w:rPr>
        <w:t>No-excuse absentee voting</w:t>
      </w:r>
      <w:r>
        <w:t xml:space="preserve"> — Florida (since 1981), Georgia, Montana, Iowa, Kansas, North Carolina. Florida has run this for 45 years under Republican leadership. Adopting it in Texas would likely move the state's COVI rank several positions on its own.</w:t>
      </w:r>
    </w:p>
    <w:p w14:paraId="41CCE86B" w14:textId="77777777" w:rsidR="002C05DF" w:rsidRDefault="00000000">
      <w:pPr>
        <w:spacing w:after="200"/>
      </w:pPr>
      <w:r>
        <w:lastRenderedPageBreak/>
        <w:t xml:space="preserve">And it isn't just incremental in other states — it's been fast. </w:t>
      </w:r>
      <w:r>
        <w:rPr>
          <w:b/>
          <w:bCs/>
        </w:rPr>
        <w:t>Virginia</w:t>
      </w:r>
      <w:r>
        <w:t xml:space="preserve"> added automatic registration, same-day registration, and an Election Day holiday in 2020, moving from #47 to #18 in one cycle. </w:t>
      </w:r>
      <w:r>
        <w:rPr>
          <w:b/>
          <w:bCs/>
        </w:rPr>
        <w:t>Michigan</w:t>
      </w:r>
      <w:r>
        <w:t xml:space="preserve"> added the same trio by ballot initiative in 2018, with 67% voter support, moving from #40 to #21.</w:t>
      </w:r>
    </w:p>
    <w:p w14:paraId="6CFD2CE1" w14:textId="77777777" w:rsidR="002C05DF" w:rsidRDefault="00000000">
      <w:pPr>
        <w:spacing w:after="200"/>
      </w:pPr>
      <w:r>
        <w:t>The laws are measurable. The costs — in turnout, in health, in reputation — are real. And the fixes have already been tested, in red states, at a profit.</w:t>
      </w:r>
    </w:p>
    <w:p w14:paraId="47AFB60A" w14:textId="77777777" w:rsidR="002C05DF" w:rsidRDefault="002C05DF">
      <w:pPr>
        <w:pBdr>
          <w:bottom w:val="single" w:sz="6" w:space="0" w:color="999999"/>
        </w:pBdr>
        <w:spacing w:after="200"/>
      </w:pPr>
    </w:p>
    <w:p w14:paraId="3AE772AD" w14:textId="77777777" w:rsidR="002C05DF" w:rsidRDefault="00000000">
      <w:pPr>
        <w:spacing w:after="200"/>
      </w:pPr>
      <w:r>
        <w:rPr>
          <w:i/>
          <w:iCs/>
        </w:rPr>
        <w:t>Sources: Harris County Clerk (2024); Rice University Kinder Institute (2024); Community Impact/Harris County Clerk (2024); Hobby School of Public Affairs, UH (2024); Schraufnagel (2023), State &amp; Local Government Review; Avila et al. (2021), The Lancet Regional Health; Pabayo et al. (2022), PLOS ONE; CNBC America's Top States for Business 2026; Bankrate Best States 2025; America's Health Rankings 2025; WalletHub 2024; U.S. Census ACS 2024 and Vintage 2025.</w:t>
      </w:r>
    </w:p>
    <w:sectPr w:rsidR="002C05DF">
      <w:footerReference w:type="even"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6CC0FB" w14:textId="77777777" w:rsidR="00DB6A04" w:rsidRDefault="00DB6A04" w:rsidP="00D23EF6">
      <w:r>
        <w:separator/>
      </w:r>
    </w:p>
  </w:endnote>
  <w:endnote w:type="continuationSeparator" w:id="0">
    <w:p w14:paraId="18CB1761" w14:textId="77777777" w:rsidR="00DB6A04" w:rsidRDefault="00DB6A04" w:rsidP="00D23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09963165"/>
      <w:docPartObj>
        <w:docPartGallery w:val="Page Numbers (Bottom of Page)"/>
        <w:docPartUnique/>
      </w:docPartObj>
    </w:sdtPr>
    <w:sdtContent>
      <w:p w14:paraId="7DB976D7" w14:textId="5E5ADD64" w:rsidR="00D23EF6" w:rsidRDefault="00D23EF6" w:rsidP="000803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9F0960E" w14:textId="77777777" w:rsidR="00D23EF6" w:rsidRDefault="00D23EF6" w:rsidP="00D23E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68093677"/>
      <w:docPartObj>
        <w:docPartGallery w:val="Page Numbers (Bottom of Page)"/>
        <w:docPartUnique/>
      </w:docPartObj>
    </w:sdtPr>
    <w:sdtContent>
      <w:p w14:paraId="39E8823A" w14:textId="1CD0F054" w:rsidR="00D23EF6" w:rsidRDefault="00D23EF6" w:rsidP="000803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0B9429C" w14:textId="3E54C558" w:rsidR="00D23EF6" w:rsidRDefault="00D23EF6" w:rsidP="00D23EF6">
    <w:pPr>
      <w:pStyle w:val="Footer"/>
      <w:ind w:right="360"/>
    </w:pPr>
    <w:r>
      <w:t xml:space="preserve">For more information on the National Coalition for Voter Rights: </w:t>
    </w:r>
    <w:hyperlink r:id="rId1" w:history="1">
      <w:r w:rsidRPr="00D23EF6">
        <w:rPr>
          <w:rStyle w:val="Hyperlink"/>
        </w:rPr>
        <w:t>Our Substack Website</w:t>
      </w:r>
    </w:hyperlink>
    <w:r>
      <w:t xml:space="preserve"> </w:t>
    </w:r>
  </w:p>
  <w:p w14:paraId="4FF9E538" w14:textId="77777777" w:rsidR="00D23EF6" w:rsidRDefault="00D23E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D0AFA2" w14:textId="77777777" w:rsidR="00DB6A04" w:rsidRDefault="00DB6A04" w:rsidP="00D23EF6">
      <w:r>
        <w:separator/>
      </w:r>
    </w:p>
  </w:footnote>
  <w:footnote w:type="continuationSeparator" w:id="0">
    <w:p w14:paraId="6861D42F" w14:textId="77777777" w:rsidR="00DB6A04" w:rsidRDefault="00DB6A04" w:rsidP="00D23E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374B80"/>
    <w:multiLevelType w:val="hybridMultilevel"/>
    <w:tmpl w:val="81147634"/>
    <w:lvl w:ilvl="0" w:tplc="12DCE446">
      <w:start w:val="1"/>
      <w:numFmt w:val="decimal"/>
      <w:lvlText w:val="%1."/>
      <w:lvlJc w:val="left"/>
    </w:lvl>
    <w:lvl w:ilvl="1" w:tplc="F968AB68">
      <w:numFmt w:val="decimal"/>
      <w:lvlText w:val=""/>
      <w:lvlJc w:val="left"/>
    </w:lvl>
    <w:lvl w:ilvl="2" w:tplc="6652D22E">
      <w:numFmt w:val="decimal"/>
      <w:lvlText w:val=""/>
      <w:lvlJc w:val="left"/>
    </w:lvl>
    <w:lvl w:ilvl="3" w:tplc="A6105116">
      <w:numFmt w:val="decimal"/>
      <w:lvlText w:val=""/>
      <w:lvlJc w:val="left"/>
    </w:lvl>
    <w:lvl w:ilvl="4" w:tplc="3E084C70">
      <w:numFmt w:val="decimal"/>
      <w:lvlText w:val=""/>
      <w:lvlJc w:val="left"/>
    </w:lvl>
    <w:lvl w:ilvl="5" w:tplc="EBACBABC">
      <w:numFmt w:val="decimal"/>
      <w:lvlText w:val=""/>
      <w:lvlJc w:val="left"/>
    </w:lvl>
    <w:lvl w:ilvl="6" w:tplc="40927416">
      <w:numFmt w:val="decimal"/>
      <w:lvlText w:val=""/>
      <w:lvlJc w:val="left"/>
    </w:lvl>
    <w:lvl w:ilvl="7" w:tplc="F35EEE4C">
      <w:numFmt w:val="decimal"/>
      <w:lvlText w:val=""/>
      <w:lvlJc w:val="left"/>
    </w:lvl>
    <w:lvl w:ilvl="8" w:tplc="5C0A7016">
      <w:numFmt w:val="decimal"/>
      <w:lvlText w:val=""/>
      <w:lvlJc w:val="left"/>
    </w:lvl>
  </w:abstractNum>
  <w:abstractNum w:abstractNumId="1" w15:restartNumberingAfterBreak="0">
    <w:nsid w:val="6C4158EB"/>
    <w:multiLevelType w:val="hybridMultilevel"/>
    <w:tmpl w:val="F4062C20"/>
    <w:lvl w:ilvl="0" w:tplc="54DE1C88">
      <w:start w:val="1"/>
      <w:numFmt w:val="bullet"/>
      <w:lvlText w:val="●"/>
      <w:lvlJc w:val="left"/>
      <w:pPr>
        <w:ind w:left="720" w:hanging="360"/>
      </w:pPr>
    </w:lvl>
    <w:lvl w:ilvl="1" w:tplc="F886B368">
      <w:start w:val="1"/>
      <w:numFmt w:val="bullet"/>
      <w:lvlText w:val="○"/>
      <w:lvlJc w:val="left"/>
      <w:pPr>
        <w:ind w:left="1440" w:hanging="360"/>
      </w:pPr>
    </w:lvl>
    <w:lvl w:ilvl="2" w:tplc="41BAEA1C">
      <w:start w:val="1"/>
      <w:numFmt w:val="bullet"/>
      <w:lvlText w:val="■"/>
      <w:lvlJc w:val="left"/>
      <w:pPr>
        <w:ind w:left="2160" w:hanging="360"/>
      </w:pPr>
    </w:lvl>
    <w:lvl w:ilvl="3" w:tplc="B2B4220A">
      <w:start w:val="1"/>
      <w:numFmt w:val="bullet"/>
      <w:lvlText w:val="●"/>
      <w:lvlJc w:val="left"/>
      <w:pPr>
        <w:ind w:left="2880" w:hanging="360"/>
      </w:pPr>
    </w:lvl>
    <w:lvl w:ilvl="4" w:tplc="5EA415AC">
      <w:start w:val="1"/>
      <w:numFmt w:val="bullet"/>
      <w:lvlText w:val="○"/>
      <w:lvlJc w:val="left"/>
      <w:pPr>
        <w:ind w:left="3600" w:hanging="360"/>
      </w:pPr>
    </w:lvl>
    <w:lvl w:ilvl="5" w:tplc="F078C04A">
      <w:start w:val="1"/>
      <w:numFmt w:val="bullet"/>
      <w:lvlText w:val="■"/>
      <w:lvlJc w:val="left"/>
      <w:pPr>
        <w:ind w:left="4320" w:hanging="360"/>
      </w:pPr>
    </w:lvl>
    <w:lvl w:ilvl="6" w:tplc="5BA8D16A">
      <w:start w:val="1"/>
      <w:numFmt w:val="bullet"/>
      <w:lvlText w:val="●"/>
      <w:lvlJc w:val="left"/>
      <w:pPr>
        <w:ind w:left="5040" w:hanging="360"/>
      </w:pPr>
    </w:lvl>
    <w:lvl w:ilvl="7" w:tplc="4E3A6C62">
      <w:start w:val="1"/>
      <w:numFmt w:val="bullet"/>
      <w:lvlText w:val="●"/>
      <w:lvlJc w:val="left"/>
      <w:pPr>
        <w:ind w:left="5760" w:hanging="360"/>
      </w:pPr>
    </w:lvl>
    <w:lvl w:ilvl="8" w:tplc="42422C4E">
      <w:start w:val="1"/>
      <w:numFmt w:val="bullet"/>
      <w:lvlText w:val="●"/>
      <w:lvlJc w:val="left"/>
      <w:pPr>
        <w:ind w:left="6480" w:hanging="360"/>
      </w:pPr>
    </w:lvl>
  </w:abstractNum>
  <w:num w:numId="1" w16cid:durableId="566456781">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DF"/>
    <w:rsid w:val="002C05DF"/>
    <w:rsid w:val="006368CA"/>
    <w:rsid w:val="00780F77"/>
    <w:rsid w:val="00781EB7"/>
    <w:rsid w:val="00921AF3"/>
    <w:rsid w:val="00D23EF6"/>
    <w:rsid w:val="00DB6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C8AFDE"/>
  <w15:docId w15:val="{A6A1E1B8-4831-2746-AE9B-D744142A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23EF6"/>
    <w:pPr>
      <w:tabs>
        <w:tab w:val="center" w:pos="4680"/>
        <w:tab w:val="right" w:pos="9360"/>
      </w:tabs>
    </w:pPr>
  </w:style>
  <w:style w:type="character" w:customStyle="1" w:styleId="HeaderChar">
    <w:name w:val="Header Char"/>
    <w:basedOn w:val="DefaultParagraphFont"/>
    <w:link w:val="Header"/>
    <w:uiPriority w:val="99"/>
    <w:rsid w:val="00D23EF6"/>
  </w:style>
  <w:style w:type="paragraph" w:styleId="Footer">
    <w:name w:val="footer"/>
    <w:basedOn w:val="Normal"/>
    <w:link w:val="FooterChar"/>
    <w:uiPriority w:val="99"/>
    <w:unhideWhenUsed/>
    <w:rsid w:val="00D23EF6"/>
    <w:pPr>
      <w:tabs>
        <w:tab w:val="center" w:pos="4680"/>
        <w:tab w:val="right" w:pos="9360"/>
      </w:tabs>
    </w:pPr>
  </w:style>
  <w:style w:type="character" w:customStyle="1" w:styleId="FooterChar">
    <w:name w:val="Footer Char"/>
    <w:basedOn w:val="DefaultParagraphFont"/>
    <w:link w:val="Footer"/>
    <w:uiPriority w:val="99"/>
    <w:rsid w:val="00D23EF6"/>
  </w:style>
  <w:style w:type="character" w:styleId="UnresolvedMention">
    <w:name w:val="Unresolved Mention"/>
    <w:basedOn w:val="DefaultParagraphFont"/>
    <w:uiPriority w:val="99"/>
    <w:semiHidden/>
    <w:unhideWhenUsed/>
    <w:rsid w:val="00D23EF6"/>
    <w:rPr>
      <w:color w:val="605E5C"/>
      <w:shd w:val="clear" w:color="auto" w:fill="E1DFDD"/>
    </w:rPr>
  </w:style>
  <w:style w:type="character" w:styleId="PageNumber">
    <w:name w:val="page number"/>
    <w:basedOn w:val="DefaultParagraphFont"/>
    <w:uiPriority w:val="99"/>
    <w:semiHidden/>
    <w:unhideWhenUsed/>
    <w:rsid w:val="00D23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votinguseitorloseit.substack.com/?utm_campaign=profile_c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931</Words>
  <Characters>5310</Characters>
  <Application>Microsoft Office Word</Application>
  <DocSecurity>0</DocSecurity>
  <Lines>44</Lines>
  <Paragraphs>12</Paragraphs>
  <ScaleCrop>false</ScaleCrop>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Robin Lederer</cp:lastModifiedBy>
  <cp:revision>2</cp:revision>
  <dcterms:created xsi:type="dcterms:W3CDTF">2026-08-01T18:51:00Z</dcterms:created>
  <dcterms:modified xsi:type="dcterms:W3CDTF">2026-08-01T18:51:00Z</dcterms:modified>
</cp:coreProperties>
</file>