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407A582" w14:textId="77777777" w:rsidR="00F7037E" w:rsidRDefault="00000000">
      <w:pPr>
        <w:pStyle w:val="Title"/>
        <w:spacing w:after="200"/>
      </w:pPr>
      <w:r>
        <w:t>The States That Make Voting Hardest Don't Have Less Fraud. They Have More.</w:t>
      </w:r>
    </w:p>
    <w:p w14:paraId="5465308F" w14:textId="77777777" w:rsidR="00F7037E" w:rsidRDefault="00000000">
      <w:pPr>
        <w:spacing w:after="200"/>
      </w:pPr>
      <w:r>
        <w:rPr>
          <w:i/>
          <w:iCs/>
        </w:rPr>
        <w:t>Part 2 of a four-part series on what the research actually shows about voting in Texas.</w:t>
      </w:r>
    </w:p>
    <w:p w14:paraId="4904D0F7" w14:textId="7E4B3D7F" w:rsidR="00F7037E" w:rsidRDefault="00000000">
      <w:pPr>
        <w:spacing w:after="200"/>
      </w:pPr>
      <w:r>
        <w:t xml:space="preserve">The usual justification for making voting harder is fraud prevention. </w:t>
      </w:r>
      <w:r w:rsidR="00A14CAB">
        <w:t>So,</w:t>
      </w:r>
      <w:r>
        <w:t xml:space="preserve"> it's worth asking a direct question: does restricting access actually correlate with less fraud? The best available data — the Heritage Foundation's own fraud database, which is built specifically to document every case it can find — say no.</w:t>
      </w:r>
    </w:p>
    <w:p w14:paraId="58D1669A" w14:textId="77777777" w:rsidR="00F7037E" w:rsidRDefault="00000000">
      <w:pPr>
        <w:pStyle w:val="Heading1"/>
        <w:spacing w:before="300" w:after="150"/>
      </w:pPr>
      <w:r>
        <w:t>The scale of the problem, first</w:t>
      </w:r>
    </w:p>
    <w:p w14:paraId="7459F7BC" w14:textId="77777777" w:rsidR="00F7037E" w:rsidRDefault="00000000">
      <w:pPr>
        <w:spacing w:after="200"/>
      </w:pPr>
      <w:r>
        <w:t xml:space="preserve">The Heritage Foundation has documented </w:t>
      </w:r>
      <w:r>
        <w:rPr>
          <w:b/>
          <w:bCs/>
        </w:rPr>
        <w:t>1,011 fraud cases</w:t>
      </w:r>
      <w:r>
        <w:t xml:space="preserve"> across all 50 states over </w:t>
      </w:r>
      <w:r>
        <w:rPr>
          <w:b/>
          <w:bCs/>
        </w:rPr>
        <w:t>39 years</w:t>
      </w:r>
      <w:r>
        <w:t>. That's an average of fewer than 2 cases per state, per election cycle. And Heritage isn't a lax source here — this is an organization actively looking for fraud, cross-referencing court records, newspaper reports, and election filings to build the most complete list it can.</w:t>
      </w:r>
    </w:p>
    <w:p w14:paraId="3A81E6AD" w14:textId="77777777" w:rsidR="00F7037E" w:rsidRDefault="00000000">
      <w:pPr>
        <w:spacing w:after="200"/>
      </w:pPr>
      <w:r>
        <w:t>If widespread fraud existed, an aggressive, motivated search like that would surface it. It hasn't.</w:t>
      </w:r>
    </w:p>
    <w:p w14:paraId="247B4C99" w14:textId="77777777" w:rsidR="00F7037E" w:rsidRDefault="00000000">
      <w:pPr>
        <w:pStyle w:val="Heading1"/>
        <w:spacing w:before="300" w:after="150"/>
      </w:pPr>
      <w:r>
        <w:t>Restriction and fraud: no relationship, or the wrong one</w:t>
      </w:r>
    </w:p>
    <w:p w14:paraId="29364394" w14:textId="77777777" w:rsidR="00F7037E" w:rsidRDefault="00000000">
      <w:pPr>
        <w:spacing w:after="200"/>
      </w:pPr>
      <w:r>
        <w:t>Researchers have tested whether states with more restrictive voting laws (higher COVI scores) have less documented fraud. Three findings stand out:</w:t>
      </w:r>
    </w:p>
    <w:p w14:paraId="21CB4EDF" w14:textId="77777777" w:rsidR="00F7037E" w:rsidRDefault="00000000"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>No statistical relationship</w:t>
      </w:r>
      <w:r>
        <w:t xml:space="preserve"> between COVI rank and fraud, in any model tested.</w:t>
      </w:r>
    </w:p>
    <w:p w14:paraId="0F9D8D24" w14:textId="77777777" w:rsidR="00F7037E" w:rsidRDefault="00000000">
      <w:pPr>
        <w:pStyle w:val="ListParagraph"/>
        <w:numPr>
          <w:ilvl w:val="0"/>
          <w:numId w:val="1"/>
        </w:numPr>
        <w:spacing w:after="80"/>
      </w:pPr>
      <w:r>
        <w:t xml:space="preserve">Where a relationship does show up, it runs the </w:t>
      </w:r>
      <w:r>
        <w:rPr>
          <w:i/>
          <w:iCs/>
        </w:rPr>
        <w:t>other</w:t>
      </w:r>
      <w:r>
        <w:t xml:space="preserve"> way: the correlation between restriction and fraud is </w:t>
      </w:r>
      <w:r>
        <w:rPr>
          <w:b/>
          <w:bCs/>
        </w:rPr>
        <w:t>positive</w:t>
      </w:r>
      <w:r>
        <w:t xml:space="preserve"> (r = +.20). More restrictive states show more documented fraud, not less.</w:t>
      </w:r>
    </w:p>
    <w:p w14:paraId="2A3C6689" w14:textId="77777777" w:rsidR="00F7037E" w:rsidRDefault="00000000">
      <w:pPr>
        <w:pStyle w:val="ListParagraph"/>
        <w:numPr>
          <w:ilvl w:val="0"/>
          <w:numId w:val="1"/>
        </w:numPr>
        <w:spacing w:after="80"/>
      </w:pPr>
      <w:r>
        <w:t xml:space="preserve">Case studies point the same direction. Colorado moved to all-mail voting in 2016 — no net change in fraud. New Hampshire became one of the most restrictive states by 2016 — fraud cases </w:t>
      </w:r>
      <w:r>
        <w:rPr>
          <w:i/>
          <w:iCs/>
        </w:rPr>
        <w:t>increased</w:t>
      </w:r>
      <w:r>
        <w:t>, from 2 to 11, afterward.</w:t>
      </w:r>
    </w:p>
    <w:p w14:paraId="6A36620B" w14:textId="77777777" w:rsidR="00F7037E" w:rsidRDefault="00000000">
      <w:pPr>
        <w:pStyle w:val="Heading1"/>
        <w:spacing w:before="300" w:after="150"/>
      </w:pPr>
      <w:r>
        <w:t>Where fraud actually happens</w:t>
      </w:r>
    </w:p>
    <w:p w14:paraId="435C3CC0" w14:textId="77777777" w:rsidR="00F7037E" w:rsidRDefault="00000000">
      <w:pPr>
        <w:spacing w:after="200"/>
      </w:pPr>
      <w:r>
        <w:t>Two patterns show up consistently in the data:</w:t>
      </w:r>
    </w:p>
    <w:p w14:paraId="44937C26" w14:textId="77777777" w:rsidR="00F7037E" w:rsidRDefault="00000000">
      <w:pPr>
        <w:spacing w:after="200"/>
      </w:pPr>
      <w:r>
        <w:rPr>
          <w:b/>
          <w:bCs/>
        </w:rPr>
        <w:t>It tracks close elections, not access.</w:t>
      </w:r>
      <w:r>
        <w:t xml:space="preserve"> A 10% increase in a race's winning margin is associated with roughly 1.5 fewer fraud cases. The incentive to cheat rises when a vote might actually swing the outcome — not when voting is easier.</w:t>
      </w:r>
    </w:p>
    <w:p w14:paraId="690E94F2" w14:textId="77777777" w:rsidR="00F7037E" w:rsidRDefault="00000000">
      <w:pPr>
        <w:spacing w:after="200"/>
      </w:pPr>
      <w:r>
        <w:rPr>
          <w:b/>
          <w:bCs/>
        </w:rPr>
        <w:t>It's overwhelmingly local.</w:t>
      </w:r>
      <w:r>
        <w:t xml:space="preserve"> Of the 28 post-2020 cases in Heritage's database, 9 of 11 </w:t>
      </w:r>
      <w:r>
        <w:rPr>
          <w:i/>
          <w:iCs/>
        </w:rPr>
        <w:t>election</w:t>
      </w:r>
      <w:r>
        <w:t xml:space="preserve"> fraud cases (fraud committed by someone other than an individual voter — the kind capable of changing an outcome) involved local races: city councils, local primaries, county offices. Only 10 of the 28 cases had anything to do with the 2020 presidential election.</w:t>
      </w:r>
    </w:p>
    <w:p w14:paraId="6F74EB44" w14:textId="77777777" w:rsidR="00F7037E" w:rsidRDefault="00000000">
      <w:pPr>
        <w:spacing w:after="200"/>
      </w:pPr>
      <w:r>
        <w:t>The clearest modern example of fraud actually changing a result: North Carolina, 2018, a congressional race. A campaign worker falsified absentee ballot applications. The candidate won by 900 votes. The state overturned the election.</w:t>
      </w:r>
    </w:p>
    <w:p w14:paraId="73728A5C" w14:textId="77777777" w:rsidR="00F7037E" w:rsidRDefault="00000000">
      <w:pPr>
        <w:spacing w:after="200"/>
      </w:pPr>
      <w:r>
        <w:lastRenderedPageBreak/>
        <w:t>That case is worth sitting with for a different reason too — it's the system working. The fraud was caught, investigated, and corrected.</w:t>
      </w:r>
    </w:p>
    <w:p w14:paraId="0C32D29A" w14:textId="77777777" w:rsidR="00F7037E" w:rsidRDefault="00000000">
      <w:pPr>
        <w:pStyle w:val="Heading1"/>
        <w:spacing w:before="300" w:after="150"/>
      </w:pPr>
      <w:r>
        <w:t>Voter fraud vs. election fraud — a distinction worth keeping straight</w:t>
      </w:r>
    </w:p>
    <w:p w14:paraId="14C61612" w14:textId="77777777" w:rsidR="00F7037E" w:rsidRDefault="00000000">
      <w:pPr>
        <w:spacing w:after="200"/>
      </w:pPr>
      <w:r>
        <w:rPr>
          <w:b/>
          <w:bCs/>
        </w:rPr>
        <w:t>Voter fraud</w:t>
      </w:r>
      <w:r>
        <w:t xml:space="preserve"> — an individual voter breaking the rules, like voting twice — is rare, and on the rare occasions it happens, it essentially never changes an outcome. </w:t>
      </w:r>
      <w:r>
        <w:rPr>
          <w:b/>
          <w:bCs/>
        </w:rPr>
        <w:t>Election fraud</w:t>
      </w:r>
      <w:r>
        <w:t xml:space="preserve"> — orchestrated by someone with access to the process, like the North Carolina case — is the real threat. And making it harder for ordinary citizens to register or cast a ballot does nothing to stop it, because that was never where the risk was concentrated.</w:t>
      </w:r>
    </w:p>
    <w:p w14:paraId="0E4965E4" w14:textId="77777777" w:rsidR="00F7037E" w:rsidRDefault="00000000">
      <w:pPr>
        <w:spacing w:after="200"/>
      </w:pPr>
      <w:r>
        <w:t>One more data point, on the politics of it: of the 7 post-2020 cases where the perpetrator's party affiliation was identifiable, all 7 were Republicans. Fraud tracks the electorate it occurs in. It isn't a tool that belongs to one side.</w:t>
      </w:r>
    </w:p>
    <w:p w14:paraId="30D69BE5" w14:textId="77777777" w:rsidR="00F7037E" w:rsidRDefault="00000000">
      <w:pPr>
        <w:pStyle w:val="Heading1"/>
        <w:spacing w:before="300" w:after="150"/>
      </w:pPr>
      <w:r>
        <w:t>The strongest argument is the one restrictionists don't make</w:t>
      </w:r>
    </w:p>
    <w:p w14:paraId="34275F48" w14:textId="77777777" w:rsidR="00F7037E" w:rsidRDefault="00000000">
      <w:pPr>
        <w:spacing w:after="200"/>
      </w:pPr>
      <w:r>
        <w:t xml:space="preserve">Here's the case for confidence in the system, not against it: </w:t>
      </w:r>
      <w:r>
        <w:rPr>
          <w:b/>
          <w:bCs/>
        </w:rPr>
        <w:t>we catch fraud because we look for it.</w:t>
      </w:r>
      <w:r>
        <w:t xml:space="preserve"> Heritage's exhaustive, motivated search — decades of court documents, news archives, and election records — turns up fewer than 2 cases per state per cycle. Auditing mechanisms exist, and they work. If fraud were happening at a scale that justified new barriers to registration and voting, this is exactly the kind of search that would find it.</w:t>
      </w:r>
    </w:p>
    <w:p w14:paraId="657F24BF" w14:textId="77777777" w:rsidR="00F7037E" w:rsidRDefault="00000000">
      <w:pPr>
        <w:spacing w:after="200"/>
      </w:pPr>
      <w:r>
        <w:t>It hasn't.</w:t>
      </w:r>
    </w:p>
    <w:p w14:paraId="59B19A30" w14:textId="77777777" w:rsidR="00F7037E" w:rsidRDefault="00F7037E">
      <w:pPr>
        <w:pBdr>
          <w:bottom w:val="single" w:sz="6" w:space="0" w:color="999999"/>
        </w:pBdr>
        <w:spacing w:after="200"/>
      </w:pPr>
    </w:p>
    <w:p w14:paraId="0D75055F" w14:textId="77777777" w:rsidR="00F7037E" w:rsidRDefault="00000000">
      <w:pPr>
        <w:spacing w:after="200"/>
      </w:pPr>
      <w:r>
        <w:rPr>
          <w:i/>
          <w:iCs/>
        </w:rPr>
        <w:t>Source: Heritage Foundation Election Fraud Database (n = 1,011 cases through 2022), as analyzed in Pomante, Schraufnagel &amp; Li, The Cost of Voting in the American States, Ch. 7, University Press of Kansas (2024).</w:t>
      </w:r>
    </w:p>
    <w:p w14:paraId="5D5BD07F" w14:textId="77777777" w:rsidR="00F7037E" w:rsidRDefault="00000000">
      <w:pPr>
        <w:spacing w:after="200"/>
      </w:pPr>
      <w:r>
        <w:rPr>
          <w:i/>
          <w:iCs/>
        </w:rPr>
        <w:t>The correlation between fraud and electoral competitiveness, and the case-level analysis of post-2020 fraud incidents, come from the same research.</w:t>
      </w:r>
    </w:p>
    <w:sectPr w:rsidR="00F7037E">
      <w:footerReference w:type="even" r:id="rId7"/>
      <w:footerReference w:type="default" r:id="rId8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F2796D6" w14:textId="77777777" w:rsidR="001271CD" w:rsidRDefault="001271CD" w:rsidP="001105FE">
      <w:r>
        <w:separator/>
      </w:r>
    </w:p>
  </w:endnote>
  <w:endnote w:type="continuationSeparator" w:id="0">
    <w:p w14:paraId="03061E51" w14:textId="77777777" w:rsidR="001271CD" w:rsidRDefault="001271CD" w:rsidP="00110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425151525"/>
      <w:docPartObj>
        <w:docPartGallery w:val="Page Numbers (Bottom of Page)"/>
        <w:docPartUnique/>
      </w:docPartObj>
    </w:sdtPr>
    <w:sdtContent>
      <w:p w14:paraId="4D57525D" w14:textId="4B919120" w:rsidR="001105FE" w:rsidRDefault="001105FE" w:rsidP="0008034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16581CD8" w14:textId="77777777" w:rsidR="001105FE" w:rsidRDefault="001105FE" w:rsidP="001105F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668751560"/>
      <w:docPartObj>
        <w:docPartGallery w:val="Page Numbers (Bottom of Page)"/>
        <w:docPartUnique/>
      </w:docPartObj>
    </w:sdtPr>
    <w:sdtContent>
      <w:p w14:paraId="679A6626" w14:textId="713F1A2A" w:rsidR="001105FE" w:rsidRDefault="001105FE" w:rsidP="0008034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0BA8B526" w14:textId="7FE3EA46" w:rsidR="001105FE" w:rsidRDefault="001105FE" w:rsidP="001105FE">
    <w:pPr>
      <w:pStyle w:val="Footer"/>
      <w:ind w:right="360"/>
    </w:pPr>
    <w:r>
      <w:t xml:space="preserve">For further </w:t>
    </w:r>
    <w:r w:rsidR="00D1551D">
      <w:t>information</w:t>
    </w:r>
    <w:r>
      <w:t xml:space="preserve"> on the work of the National Coalition for Voter Rights:  </w:t>
    </w:r>
    <w:hyperlink r:id="rId1" w:history="1">
      <w:r w:rsidRPr="001105FE">
        <w:rPr>
          <w:rStyle w:val="Hyperlink"/>
        </w:rPr>
        <w:t>Our Substack Website</w:t>
      </w:r>
    </w:hyperlink>
  </w:p>
  <w:p w14:paraId="6EF64D4E" w14:textId="77777777" w:rsidR="001105FE" w:rsidRDefault="001105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138CF17" w14:textId="77777777" w:rsidR="001271CD" w:rsidRDefault="001271CD" w:rsidP="001105FE">
      <w:r>
        <w:separator/>
      </w:r>
    </w:p>
  </w:footnote>
  <w:footnote w:type="continuationSeparator" w:id="0">
    <w:p w14:paraId="3C773ABE" w14:textId="77777777" w:rsidR="001271CD" w:rsidRDefault="001271CD" w:rsidP="001105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C886FC4"/>
    <w:multiLevelType w:val="hybridMultilevel"/>
    <w:tmpl w:val="EC229748"/>
    <w:lvl w:ilvl="0" w:tplc="0AE2C964">
      <w:start w:val="1"/>
      <w:numFmt w:val="bullet"/>
      <w:lvlText w:val="●"/>
      <w:lvlJc w:val="left"/>
      <w:pPr>
        <w:ind w:left="720" w:hanging="360"/>
      </w:pPr>
    </w:lvl>
    <w:lvl w:ilvl="1" w:tplc="AB8CC942">
      <w:start w:val="1"/>
      <w:numFmt w:val="bullet"/>
      <w:lvlText w:val="○"/>
      <w:lvlJc w:val="left"/>
      <w:pPr>
        <w:ind w:left="1440" w:hanging="360"/>
      </w:pPr>
    </w:lvl>
    <w:lvl w:ilvl="2" w:tplc="7882A34A">
      <w:start w:val="1"/>
      <w:numFmt w:val="bullet"/>
      <w:lvlText w:val="■"/>
      <w:lvlJc w:val="left"/>
      <w:pPr>
        <w:ind w:left="2160" w:hanging="360"/>
      </w:pPr>
    </w:lvl>
    <w:lvl w:ilvl="3" w:tplc="005287EC">
      <w:start w:val="1"/>
      <w:numFmt w:val="bullet"/>
      <w:lvlText w:val="●"/>
      <w:lvlJc w:val="left"/>
      <w:pPr>
        <w:ind w:left="2880" w:hanging="360"/>
      </w:pPr>
    </w:lvl>
    <w:lvl w:ilvl="4" w:tplc="0F5A5666">
      <w:start w:val="1"/>
      <w:numFmt w:val="bullet"/>
      <w:lvlText w:val="○"/>
      <w:lvlJc w:val="left"/>
      <w:pPr>
        <w:ind w:left="3600" w:hanging="360"/>
      </w:pPr>
    </w:lvl>
    <w:lvl w:ilvl="5" w:tplc="F9D8793E">
      <w:start w:val="1"/>
      <w:numFmt w:val="bullet"/>
      <w:lvlText w:val="■"/>
      <w:lvlJc w:val="left"/>
      <w:pPr>
        <w:ind w:left="4320" w:hanging="360"/>
      </w:pPr>
    </w:lvl>
    <w:lvl w:ilvl="6" w:tplc="DAD0FA08">
      <w:start w:val="1"/>
      <w:numFmt w:val="bullet"/>
      <w:lvlText w:val="●"/>
      <w:lvlJc w:val="left"/>
      <w:pPr>
        <w:ind w:left="5040" w:hanging="360"/>
      </w:pPr>
    </w:lvl>
    <w:lvl w:ilvl="7" w:tplc="BEDA3840">
      <w:start w:val="1"/>
      <w:numFmt w:val="bullet"/>
      <w:lvlText w:val="●"/>
      <w:lvlJc w:val="left"/>
      <w:pPr>
        <w:ind w:left="5760" w:hanging="360"/>
      </w:pPr>
    </w:lvl>
    <w:lvl w:ilvl="8" w:tplc="7D324D14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6722473"/>
    <w:multiLevelType w:val="hybridMultilevel"/>
    <w:tmpl w:val="F29C03AA"/>
    <w:lvl w:ilvl="0" w:tplc="00C280F8">
      <w:start w:val="1"/>
      <w:numFmt w:val="decimal"/>
      <w:lvlText w:val="%1."/>
      <w:lvlJc w:val="left"/>
    </w:lvl>
    <w:lvl w:ilvl="1" w:tplc="3F8C6FE6">
      <w:numFmt w:val="decimal"/>
      <w:lvlText w:val=""/>
      <w:lvlJc w:val="left"/>
    </w:lvl>
    <w:lvl w:ilvl="2" w:tplc="5B705558">
      <w:numFmt w:val="decimal"/>
      <w:lvlText w:val=""/>
      <w:lvlJc w:val="left"/>
    </w:lvl>
    <w:lvl w:ilvl="3" w:tplc="8EFE3AA4">
      <w:numFmt w:val="decimal"/>
      <w:lvlText w:val=""/>
      <w:lvlJc w:val="left"/>
    </w:lvl>
    <w:lvl w:ilvl="4" w:tplc="13A2A6AA">
      <w:numFmt w:val="decimal"/>
      <w:lvlText w:val=""/>
      <w:lvlJc w:val="left"/>
    </w:lvl>
    <w:lvl w:ilvl="5" w:tplc="4D2861CC">
      <w:numFmt w:val="decimal"/>
      <w:lvlText w:val=""/>
      <w:lvlJc w:val="left"/>
    </w:lvl>
    <w:lvl w:ilvl="6" w:tplc="456A558E">
      <w:numFmt w:val="decimal"/>
      <w:lvlText w:val=""/>
      <w:lvlJc w:val="left"/>
    </w:lvl>
    <w:lvl w:ilvl="7" w:tplc="7CF8AC18">
      <w:numFmt w:val="decimal"/>
      <w:lvlText w:val=""/>
      <w:lvlJc w:val="left"/>
    </w:lvl>
    <w:lvl w:ilvl="8" w:tplc="950A4254">
      <w:numFmt w:val="decimal"/>
      <w:lvlText w:val=""/>
      <w:lvlJc w:val="left"/>
    </w:lvl>
  </w:abstractNum>
  <w:num w:numId="1" w16cid:durableId="182277184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41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37E"/>
    <w:rsid w:val="001105FE"/>
    <w:rsid w:val="001271CD"/>
    <w:rsid w:val="001C4886"/>
    <w:rsid w:val="00781EB7"/>
    <w:rsid w:val="00A14CAB"/>
    <w:rsid w:val="00D1551D"/>
    <w:rsid w:val="00F70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10CDB4"/>
  <w15:docId w15:val="{A6A1E1B8-4831-2746-AE9B-D744142AB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105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05FE"/>
  </w:style>
  <w:style w:type="paragraph" w:styleId="Footer">
    <w:name w:val="footer"/>
    <w:basedOn w:val="Normal"/>
    <w:link w:val="FooterChar"/>
    <w:uiPriority w:val="99"/>
    <w:unhideWhenUsed/>
    <w:rsid w:val="001105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05FE"/>
  </w:style>
  <w:style w:type="character" w:styleId="UnresolvedMention">
    <w:name w:val="Unresolved Mention"/>
    <w:basedOn w:val="DefaultParagraphFont"/>
    <w:uiPriority w:val="99"/>
    <w:semiHidden/>
    <w:unhideWhenUsed/>
    <w:rsid w:val="001105FE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1105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votinguseitorloseit.substack.com/?utm_campaign=profile_chip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646</Words>
  <Characters>3687</Characters>
  <Application>Microsoft Office Word</Application>
  <DocSecurity>0</DocSecurity>
  <Lines>30</Lines>
  <Paragraphs>8</Paragraphs>
  <ScaleCrop>false</ScaleCrop>
  <Company/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Robin Lederer</cp:lastModifiedBy>
  <cp:revision>5</cp:revision>
  <dcterms:created xsi:type="dcterms:W3CDTF">2026-08-01T18:09:00Z</dcterms:created>
  <dcterms:modified xsi:type="dcterms:W3CDTF">2026-08-01T18:50:00Z</dcterms:modified>
</cp:coreProperties>
</file>