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5D0FEA" w14:textId="77777777" w:rsidR="006E01DA" w:rsidRPr="006E01DA" w:rsidRDefault="006E01DA" w:rsidP="006E01D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E01DA">
        <w:rPr>
          <w:rFonts w:ascii="Times New Roman" w:eastAsia="Times New Roman" w:hAnsi="Times New Roman" w:cs="Times New Roman"/>
          <w:b/>
          <w:bCs/>
          <w:kern w:val="36"/>
          <w:sz w:val="48"/>
          <w:szCs w:val="48"/>
          <w14:ligatures w14:val="none"/>
        </w:rPr>
        <w:t>470,000 People in Tarrant County Didn't Vote in 2024. Here's What That Costs Everybody.</w:t>
      </w:r>
    </w:p>
    <w:p w14:paraId="77387A17" w14:textId="12256CD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i/>
          <w:iCs/>
          <w:kern w:val="0"/>
          <w14:ligatures w14:val="none"/>
        </w:rPr>
        <w:t xml:space="preserve">Part 3 </w:t>
      </w:r>
      <w:r w:rsidR="00BB3394">
        <w:rPr>
          <w:rFonts w:ascii="Times New Roman" w:eastAsia="Times New Roman" w:hAnsi="Times New Roman" w:cs="Times New Roman"/>
          <w:i/>
          <w:iCs/>
          <w:kern w:val="0"/>
          <w14:ligatures w14:val="none"/>
        </w:rPr>
        <w:t xml:space="preserve">(Tarrant) </w:t>
      </w:r>
      <w:r w:rsidRPr="006E01DA">
        <w:rPr>
          <w:rFonts w:ascii="Times New Roman" w:eastAsia="Times New Roman" w:hAnsi="Times New Roman" w:cs="Times New Roman"/>
          <w:i/>
          <w:iCs/>
          <w:kern w:val="0"/>
          <w14:ligatures w14:val="none"/>
        </w:rPr>
        <w:t>of a four-part series on what the research actually shows about voting in Texas.</w:t>
      </w:r>
    </w:p>
    <w:p w14:paraId="4CB0CEBF"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A #46 ranking sounds like an abstraction until you look at what it produces: specific people not voting, specific health outcomes, and a specific economic ranking that costs the state real ground. Here's each one.</w:t>
      </w:r>
    </w:p>
    <w:p w14:paraId="35F8621C" w14:textId="77777777" w:rsidR="006E01DA" w:rsidRPr="006E01DA" w:rsidRDefault="006E01DA" w:rsidP="006E01D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01DA">
        <w:rPr>
          <w:rFonts w:ascii="Times New Roman" w:eastAsia="Times New Roman" w:hAnsi="Times New Roman" w:cs="Times New Roman"/>
          <w:b/>
          <w:bCs/>
          <w:kern w:val="0"/>
          <w:sz w:val="36"/>
          <w:szCs w:val="36"/>
          <w14:ligatures w14:val="none"/>
        </w:rPr>
        <w:t>Start with one county</w:t>
      </w:r>
    </w:p>
    <w:p w14:paraId="14D89528"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Tarrant County, 2024:</w:t>
      </w:r>
    </w:p>
    <w:p w14:paraId="53DECFDC" w14:textId="77777777" w:rsidR="006E01DA" w:rsidRPr="006E01DA" w:rsidRDefault="006E01DA" w:rsidP="006E01D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1,299,023</w:t>
      </w:r>
      <w:r w:rsidRPr="006E01DA">
        <w:rPr>
          <w:rFonts w:ascii="Times New Roman" w:eastAsia="Times New Roman" w:hAnsi="Times New Roman" w:cs="Times New Roman"/>
          <w:kern w:val="0"/>
          <w14:ligatures w14:val="none"/>
        </w:rPr>
        <w:t xml:space="preserve"> registered voters</w:t>
      </w:r>
    </w:p>
    <w:p w14:paraId="25D90AD5" w14:textId="77777777" w:rsidR="006E01DA" w:rsidRPr="006E01DA" w:rsidRDefault="006E01DA" w:rsidP="006E01D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828,544</w:t>
      </w:r>
      <w:r w:rsidRPr="006E01DA">
        <w:rPr>
          <w:rFonts w:ascii="Times New Roman" w:eastAsia="Times New Roman" w:hAnsi="Times New Roman" w:cs="Times New Roman"/>
          <w:kern w:val="0"/>
          <w14:ligatures w14:val="none"/>
        </w:rPr>
        <w:t xml:space="preserve"> cast a ballot</w:t>
      </w:r>
    </w:p>
    <w:p w14:paraId="1281540A" w14:textId="77777777" w:rsidR="006E01DA" w:rsidRPr="006E01DA" w:rsidRDefault="006E01DA" w:rsidP="006E01D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~470,479</w:t>
      </w:r>
      <w:r w:rsidRPr="006E01DA">
        <w:rPr>
          <w:rFonts w:ascii="Times New Roman" w:eastAsia="Times New Roman" w:hAnsi="Times New Roman" w:cs="Times New Roman"/>
          <w:kern w:val="0"/>
          <w14:ligatures w14:val="none"/>
        </w:rPr>
        <w:t xml:space="preserve"> stayed home</w:t>
      </w:r>
    </w:p>
    <w:p w14:paraId="0681C220"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That's 63.78% turnout among people already registered — down from 68.96% in 2020. A five-point drop in four years, even in a county both parties treated as the marquee battleground on the ballot.</w:t>
      </w:r>
    </w:p>
    <w:p w14:paraId="3B010BD5"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The non-voters aren't the only story here — the electorate itself has been changing underneath the turnout numbers. Tarrant County, which a former U.S. Senator once called the "biggest, reddest county in Texas," has shifted demographically faster than almost anywhere else in the state: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5"/>
        <w:gridCol w:w="680"/>
        <w:gridCol w:w="680"/>
        <w:gridCol w:w="680"/>
        <w:gridCol w:w="695"/>
      </w:tblGrid>
      <w:tr w:rsidR="006E01DA" w:rsidRPr="006E01DA" w14:paraId="0E162DDE" w14:textId="77777777">
        <w:trPr>
          <w:tblHeader/>
          <w:tblCellSpacing w:w="15" w:type="dxa"/>
        </w:trPr>
        <w:tc>
          <w:tcPr>
            <w:tcW w:w="0" w:type="auto"/>
            <w:vAlign w:val="center"/>
            <w:hideMark/>
          </w:tcPr>
          <w:p w14:paraId="322FCBC9"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Race/Ethnicity</w:t>
            </w:r>
          </w:p>
        </w:tc>
        <w:tc>
          <w:tcPr>
            <w:tcW w:w="0" w:type="auto"/>
            <w:vAlign w:val="center"/>
            <w:hideMark/>
          </w:tcPr>
          <w:p w14:paraId="6EA9BCF3"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1990</w:t>
            </w:r>
          </w:p>
        </w:tc>
        <w:tc>
          <w:tcPr>
            <w:tcW w:w="0" w:type="auto"/>
            <w:vAlign w:val="center"/>
            <w:hideMark/>
          </w:tcPr>
          <w:p w14:paraId="00C2BBCE"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2000</w:t>
            </w:r>
          </w:p>
        </w:tc>
        <w:tc>
          <w:tcPr>
            <w:tcW w:w="0" w:type="auto"/>
            <w:vAlign w:val="center"/>
            <w:hideMark/>
          </w:tcPr>
          <w:p w14:paraId="49AB752C"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2010</w:t>
            </w:r>
          </w:p>
        </w:tc>
        <w:tc>
          <w:tcPr>
            <w:tcW w:w="0" w:type="auto"/>
            <w:vAlign w:val="center"/>
            <w:hideMark/>
          </w:tcPr>
          <w:p w14:paraId="51BB00AF"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2020</w:t>
            </w:r>
          </w:p>
        </w:tc>
      </w:tr>
      <w:tr w:rsidR="006E01DA" w:rsidRPr="006E01DA" w14:paraId="4170041F" w14:textId="77777777">
        <w:trPr>
          <w:tblCellSpacing w:w="15" w:type="dxa"/>
        </w:trPr>
        <w:tc>
          <w:tcPr>
            <w:tcW w:w="0" w:type="auto"/>
            <w:vAlign w:val="center"/>
            <w:hideMark/>
          </w:tcPr>
          <w:p w14:paraId="03EA4D88"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White</w:t>
            </w:r>
          </w:p>
        </w:tc>
        <w:tc>
          <w:tcPr>
            <w:tcW w:w="0" w:type="auto"/>
            <w:vAlign w:val="center"/>
            <w:hideMark/>
          </w:tcPr>
          <w:p w14:paraId="4EAD1081"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73.3%</w:t>
            </w:r>
          </w:p>
        </w:tc>
        <w:tc>
          <w:tcPr>
            <w:tcW w:w="0" w:type="auto"/>
            <w:vAlign w:val="center"/>
            <w:hideMark/>
          </w:tcPr>
          <w:p w14:paraId="605F043F"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61.9%</w:t>
            </w:r>
          </w:p>
        </w:tc>
        <w:tc>
          <w:tcPr>
            <w:tcW w:w="0" w:type="auto"/>
            <w:vAlign w:val="center"/>
            <w:hideMark/>
          </w:tcPr>
          <w:p w14:paraId="3832C77E"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51.8%</w:t>
            </w:r>
          </w:p>
        </w:tc>
        <w:tc>
          <w:tcPr>
            <w:tcW w:w="0" w:type="auto"/>
            <w:vAlign w:val="center"/>
            <w:hideMark/>
          </w:tcPr>
          <w:p w14:paraId="0F1C081D"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42.7%</w:t>
            </w:r>
          </w:p>
        </w:tc>
      </w:tr>
      <w:tr w:rsidR="006E01DA" w:rsidRPr="006E01DA" w14:paraId="2D392BED" w14:textId="77777777">
        <w:trPr>
          <w:tblCellSpacing w:w="15" w:type="dxa"/>
        </w:trPr>
        <w:tc>
          <w:tcPr>
            <w:tcW w:w="0" w:type="auto"/>
            <w:vAlign w:val="center"/>
            <w:hideMark/>
          </w:tcPr>
          <w:p w14:paraId="015AECF6"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Black</w:t>
            </w:r>
          </w:p>
        </w:tc>
        <w:tc>
          <w:tcPr>
            <w:tcW w:w="0" w:type="auto"/>
            <w:vAlign w:val="center"/>
            <w:hideMark/>
          </w:tcPr>
          <w:p w14:paraId="184148BA"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11.8%</w:t>
            </w:r>
          </w:p>
        </w:tc>
        <w:tc>
          <w:tcPr>
            <w:tcW w:w="0" w:type="auto"/>
            <w:vAlign w:val="center"/>
            <w:hideMark/>
          </w:tcPr>
          <w:p w14:paraId="1B8FB342"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12.6%</w:t>
            </w:r>
          </w:p>
        </w:tc>
        <w:tc>
          <w:tcPr>
            <w:tcW w:w="0" w:type="auto"/>
            <w:vAlign w:val="center"/>
            <w:hideMark/>
          </w:tcPr>
          <w:p w14:paraId="72DCA5FB"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14.5%</w:t>
            </w:r>
          </w:p>
        </w:tc>
        <w:tc>
          <w:tcPr>
            <w:tcW w:w="0" w:type="auto"/>
            <w:vAlign w:val="center"/>
            <w:hideMark/>
          </w:tcPr>
          <w:p w14:paraId="15D87CD1"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17.0%</w:t>
            </w:r>
          </w:p>
        </w:tc>
      </w:tr>
      <w:tr w:rsidR="006E01DA" w:rsidRPr="006E01DA" w14:paraId="45BE21FB" w14:textId="77777777">
        <w:trPr>
          <w:tblCellSpacing w:w="15" w:type="dxa"/>
        </w:trPr>
        <w:tc>
          <w:tcPr>
            <w:tcW w:w="0" w:type="auto"/>
            <w:vAlign w:val="center"/>
            <w:hideMark/>
          </w:tcPr>
          <w:p w14:paraId="05570050"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Hispanic</w:t>
            </w:r>
          </w:p>
        </w:tc>
        <w:tc>
          <w:tcPr>
            <w:tcW w:w="0" w:type="auto"/>
            <w:vAlign w:val="center"/>
            <w:hideMark/>
          </w:tcPr>
          <w:p w14:paraId="75B3AF09"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11.9%</w:t>
            </w:r>
          </w:p>
        </w:tc>
        <w:tc>
          <w:tcPr>
            <w:tcW w:w="0" w:type="auto"/>
            <w:vAlign w:val="center"/>
            <w:hideMark/>
          </w:tcPr>
          <w:p w14:paraId="094EF265"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19.7%</w:t>
            </w:r>
          </w:p>
        </w:tc>
        <w:tc>
          <w:tcPr>
            <w:tcW w:w="0" w:type="auto"/>
            <w:vAlign w:val="center"/>
            <w:hideMark/>
          </w:tcPr>
          <w:p w14:paraId="34B5C56A"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26.7%</w:t>
            </w:r>
          </w:p>
        </w:tc>
        <w:tc>
          <w:tcPr>
            <w:tcW w:w="0" w:type="auto"/>
            <w:vAlign w:val="center"/>
            <w:hideMark/>
          </w:tcPr>
          <w:p w14:paraId="3C633A3E"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29.4%</w:t>
            </w:r>
          </w:p>
        </w:tc>
      </w:tr>
      <w:tr w:rsidR="006E01DA" w:rsidRPr="006E01DA" w14:paraId="1BD99D30" w14:textId="77777777">
        <w:trPr>
          <w:tblCellSpacing w:w="15" w:type="dxa"/>
        </w:trPr>
        <w:tc>
          <w:tcPr>
            <w:tcW w:w="0" w:type="auto"/>
            <w:vAlign w:val="center"/>
            <w:hideMark/>
          </w:tcPr>
          <w:p w14:paraId="2A2A82A3"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Asian</w:t>
            </w:r>
          </w:p>
        </w:tc>
        <w:tc>
          <w:tcPr>
            <w:tcW w:w="0" w:type="auto"/>
            <w:vAlign w:val="center"/>
            <w:hideMark/>
          </w:tcPr>
          <w:p w14:paraId="3BE262A2"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2.5%</w:t>
            </w:r>
          </w:p>
        </w:tc>
        <w:tc>
          <w:tcPr>
            <w:tcW w:w="0" w:type="auto"/>
            <w:vAlign w:val="center"/>
            <w:hideMark/>
          </w:tcPr>
          <w:p w14:paraId="76EEBC43"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3.6%</w:t>
            </w:r>
          </w:p>
        </w:tc>
        <w:tc>
          <w:tcPr>
            <w:tcW w:w="0" w:type="auto"/>
            <w:vAlign w:val="center"/>
            <w:hideMark/>
          </w:tcPr>
          <w:p w14:paraId="3FB94742"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4.6%</w:t>
            </w:r>
          </w:p>
        </w:tc>
        <w:tc>
          <w:tcPr>
            <w:tcW w:w="0" w:type="auto"/>
            <w:vAlign w:val="center"/>
            <w:hideMark/>
          </w:tcPr>
          <w:p w14:paraId="41EF7EA0"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6.1%</w:t>
            </w:r>
          </w:p>
        </w:tc>
      </w:tr>
    </w:tbl>
    <w:p w14:paraId="067004D8"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Over the same period, presidential elections in the county went from a comfortable Republican county to a genuine toss-up: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2"/>
        <w:gridCol w:w="1246"/>
        <w:gridCol w:w="1249"/>
      </w:tblGrid>
      <w:tr w:rsidR="006E01DA" w:rsidRPr="006E01DA" w14:paraId="78F01FA5" w14:textId="77777777">
        <w:trPr>
          <w:tblHeader/>
          <w:tblCellSpacing w:w="15" w:type="dxa"/>
        </w:trPr>
        <w:tc>
          <w:tcPr>
            <w:tcW w:w="0" w:type="auto"/>
            <w:vAlign w:val="center"/>
            <w:hideMark/>
          </w:tcPr>
          <w:p w14:paraId="1276941C"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Year</w:t>
            </w:r>
          </w:p>
        </w:tc>
        <w:tc>
          <w:tcPr>
            <w:tcW w:w="0" w:type="auto"/>
            <w:vAlign w:val="center"/>
            <w:hideMark/>
          </w:tcPr>
          <w:p w14:paraId="6A1CAE24"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Democratic</w:t>
            </w:r>
          </w:p>
        </w:tc>
        <w:tc>
          <w:tcPr>
            <w:tcW w:w="0" w:type="auto"/>
            <w:vAlign w:val="center"/>
            <w:hideMark/>
          </w:tcPr>
          <w:p w14:paraId="69518F37"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Republican</w:t>
            </w:r>
          </w:p>
        </w:tc>
      </w:tr>
      <w:tr w:rsidR="006E01DA" w:rsidRPr="006E01DA" w14:paraId="169182BA" w14:textId="77777777">
        <w:trPr>
          <w:tblCellSpacing w:w="15" w:type="dxa"/>
        </w:trPr>
        <w:tc>
          <w:tcPr>
            <w:tcW w:w="0" w:type="auto"/>
            <w:vAlign w:val="center"/>
            <w:hideMark/>
          </w:tcPr>
          <w:p w14:paraId="2EFB0802"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2004</w:t>
            </w:r>
          </w:p>
        </w:tc>
        <w:tc>
          <w:tcPr>
            <w:tcW w:w="0" w:type="auto"/>
            <w:vAlign w:val="center"/>
            <w:hideMark/>
          </w:tcPr>
          <w:p w14:paraId="6F6F135C"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37.0%</w:t>
            </w:r>
          </w:p>
        </w:tc>
        <w:tc>
          <w:tcPr>
            <w:tcW w:w="0" w:type="auto"/>
            <w:vAlign w:val="center"/>
            <w:hideMark/>
          </w:tcPr>
          <w:p w14:paraId="13469A13"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62.4%</w:t>
            </w:r>
          </w:p>
        </w:tc>
      </w:tr>
      <w:tr w:rsidR="006E01DA" w:rsidRPr="006E01DA" w14:paraId="2C064E4B" w14:textId="77777777">
        <w:trPr>
          <w:tblCellSpacing w:w="15" w:type="dxa"/>
        </w:trPr>
        <w:tc>
          <w:tcPr>
            <w:tcW w:w="0" w:type="auto"/>
            <w:vAlign w:val="center"/>
            <w:hideMark/>
          </w:tcPr>
          <w:p w14:paraId="6750D968"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2008</w:t>
            </w:r>
          </w:p>
        </w:tc>
        <w:tc>
          <w:tcPr>
            <w:tcW w:w="0" w:type="auto"/>
            <w:vAlign w:val="center"/>
            <w:hideMark/>
          </w:tcPr>
          <w:p w14:paraId="23B161B2"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43.7%</w:t>
            </w:r>
          </w:p>
        </w:tc>
        <w:tc>
          <w:tcPr>
            <w:tcW w:w="0" w:type="auto"/>
            <w:vAlign w:val="center"/>
            <w:hideMark/>
          </w:tcPr>
          <w:p w14:paraId="66FDA741"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55.4%</w:t>
            </w:r>
          </w:p>
        </w:tc>
      </w:tr>
      <w:tr w:rsidR="006E01DA" w:rsidRPr="006E01DA" w14:paraId="15F227B5" w14:textId="77777777">
        <w:trPr>
          <w:tblCellSpacing w:w="15" w:type="dxa"/>
        </w:trPr>
        <w:tc>
          <w:tcPr>
            <w:tcW w:w="0" w:type="auto"/>
            <w:vAlign w:val="center"/>
            <w:hideMark/>
          </w:tcPr>
          <w:p w14:paraId="08F65962"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2012</w:t>
            </w:r>
          </w:p>
        </w:tc>
        <w:tc>
          <w:tcPr>
            <w:tcW w:w="0" w:type="auto"/>
            <w:vAlign w:val="center"/>
            <w:hideMark/>
          </w:tcPr>
          <w:p w14:paraId="6DCFB8AD"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41.4%</w:t>
            </w:r>
          </w:p>
        </w:tc>
        <w:tc>
          <w:tcPr>
            <w:tcW w:w="0" w:type="auto"/>
            <w:vAlign w:val="center"/>
            <w:hideMark/>
          </w:tcPr>
          <w:p w14:paraId="54ECA7E7"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57.1%</w:t>
            </w:r>
          </w:p>
        </w:tc>
      </w:tr>
      <w:tr w:rsidR="006E01DA" w:rsidRPr="006E01DA" w14:paraId="15B64370" w14:textId="77777777">
        <w:trPr>
          <w:tblCellSpacing w:w="15" w:type="dxa"/>
        </w:trPr>
        <w:tc>
          <w:tcPr>
            <w:tcW w:w="0" w:type="auto"/>
            <w:vAlign w:val="center"/>
            <w:hideMark/>
          </w:tcPr>
          <w:p w14:paraId="05E9F59E"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lastRenderedPageBreak/>
              <w:t>2016</w:t>
            </w:r>
          </w:p>
        </w:tc>
        <w:tc>
          <w:tcPr>
            <w:tcW w:w="0" w:type="auto"/>
            <w:vAlign w:val="center"/>
            <w:hideMark/>
          </w:tcPr>
          <w:p w14:paraId="7B805DF9"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43.1%</w:t>
            </w:r>
          </w:p>
        </w:tc>
        <w:tc>
          <w:tcPr>
            <w:tcW w:w="0" w:type="auto"/>
            <w:vAlign w:val="center"/>
            <w:hideMark/>
          </w:tcPr>
          <w:p w14:paraId="06A226C7"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51.7%</w:t>
            </w:r>
          </w:p>
        </w:tc>
      </w:tr>
      <w:tr w:rsidR="006E01DA" w:rsidRPr="006E01DA" w14:paraId="640B8F16" w14:textId="77777777">
        <w:trPr>
          <w:tblCellSpacing w:w="15" w:type="dxa"/>
        </w:trPr>
        <w:tc>
          <w:tcPr>
            <w:tcW w:w="0" w:type="auto"/>
            <w:vAlign w:val="center"/>
            <w:hideMark/>
          </w:tcPr>
          <w:p w14:paraId="0C45DA6F"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2020</w:t>
            </w:r>
          </w:p>
        </w:tc>
        <w:tc>
          <w:tcPr>
            <w:tcW w:w="0" w:type="auto"/>
            <w:vAlign w:val="center"/>
            <w:hideMark/>
          </w:tcPr>
          <w:p w14:paraId="6ED99762"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49.3%</w:t>
            </w:r>
          </w:p>
        </w:tc>
        <w:tc>
          <w:tcPr>
            <w:tcW w:w="0" w:type="auto"/>
            <w:vAlign w:val="center"/>
            <w:hideMark/>
          </w:tcPr>
          <w:p w14:paraId="2C917A3F"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49.1%</w:t>
            </w:r>
          </w:p>
        </w:tc>
      </w:tr>
      <w:tr w:rsidR="006E01DA" w:rsidRPr="006E01DA" w14:paraId="27C4FB65" w14:textId="77777777">
        <w:trPr>
          <w:tblCellSpacing w:w="15" w:type="dxa"/>
        </w:trPr>
        <w:tc>
          <w:tcPr>
            <w:tcW w:w="0" w:type="auto"/>
            <w:vAlign w:val="center"/>
            <w:hideMark/>
          </w:tcPr>
          <w:p w14:paraId="2A7D34C8"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2024</w:t>
            </w:r>
          </w:p>
        </w:tc>
        <w:tc>
          <w:tcPr>
            <w:tcW w:w="0" w:type="auto"/>
            <w:vAlign w:val="center"/>
            <w:hideMark/>
          </w:tcPr>
          <w:p w14:paraId="205EA4D1"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46.7%</w:t>
            </w:r>
          </w:p>
        </w:tc>
        <w:tc>
          <w:tcPr>
            <w:tcW w:w="0" w:type="auto"/>
            <w:vAlign w:val="center"/>
            <w:hideMark/>
          </w:tcPr>
          <w:p w14:paraId="69E59654"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51.8%</w:t>
            </w:r>
          </w:p>
        </w:tc>
      </w:tr>
    </w:tbl>
    <w:p w14:paraId="4AED143A"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By 2020, the county was decided by fewer than 2,000 votes. It then moved back toward a five-point Republican margin in 2024 — a swing that tracks the statewide pattern rather than a reversal of Tarrant's underlying demographic trend.</w:t>
      </w:r>
    </w:p>
    <w:p w14:paraId="042DDA4D"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Line that up against the specific barriers from Part 1, and a plausible explanation emerges for why a fast-changing electorate doesn't automatically translate into fast-changing turnout:</w:t>
      </w:r>
    </w:p>
    <w:p w14:paraId="6E1C7EA8" w14:textId="77777777" w:rsidR="006E01DA" w:rsidRPr="006E01DA" w:rsidRDefault="006E01DA" w:rsidP="006E01D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 xml:space="preserve">The </w:t>
      </w:r>
      <w:r w:rsidRPr="006E01DA">
        <w:rPr>
          <w:rFonts w:ascii="Times New Roman" w:eastAsia="Times New Roman" w:hAnsi="Times New Roman" w:cs="Times New Roman"/>
          <w:b/>
          <w:bCs/>
          <w:kern w:val="0"/>
          <w14:ligatures w14:val="none"/>
        </w:rPr>
        <w:t>30-day registration deadline</w:t>
      </w:r>
      <w:r w:rsidRPr="006E01DA">
        <w:rPr>
          <w:rFonts w:ascii="Times New Roman" w:eastAsia="Times New Roman" w:hAnsi="Times New Roman" w:cs="Times New Roman"/>
          <w:kern w:val="0"/>
          <w14:ligatures w14:val="none"/>
        </w:rPr>
        <w:t xml:space="preserve"> hits recent movers and newly-eligible young voters hardest — and Tarrant's Hispanic population, now approaching 30% of the county, is both younger and more mobile than the county average.</w:t>
      </w:r>
    </w:p>
    <w:p w14:paraId="5633E632" w14:textId="77777777" w:rsidR="006E01DA" w:rsidRPr="006E01DA" w:rsidRDefault="006E01DA" w:rsidP="006E01D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No online registration</w:t>
      </w:r>
      <w:r w:rsidRPr="006E01DA">
        <w:rPr>
          <w:rFonts w:ascii="Times New Roman" w:eastAsia="Times New Roman" w:hAnsi="Times New Roman" w:cs="Times New Roman"/>
          <w:kern w:val="0"/>
          <w14:ligatures w14:val="none"/>
        </w:rPr>
        <w:t xml:space="preserve"> means paper forms — a real obstacle for time-pressed voters without printer access.</w:t>
      </w:r>
    </w:p>
    <w:p w14:paraId="2012ED0C" w14:textId="77777777" w:rsidR="006E01DA" w:rsidRPr="006E01DA" w:rsidRDefault="006E01DA" w:rsidP="006E01D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No automatic DMV registration</w:t>
      </w:r>
      <w:r w:rsidRPr="006E01DA">
        <w:rPr>
          <w:rFonts w:ascii="Times New Roman" w:eastAsia="Times New Roman" w:hAnsi="Times New Roman" w:cs="Times New Roman"/>
          <w:kern w:val="0"/>
          <w14:ligatures w14:val="none"/>
        </w:rPr>
        <w:t xml:space="preserve"> is a major reason an estimated </w:t>
      </w:r>
      <w:r w:rsidRPr="006E01DA">
        <w:rPr>
          <w:rFonts w:ascii="Times New Roman" w:eastAsia="Times New Roman" w:hAnsi="Times New Roman" w:cs="Times New Roman"/>
          <w:b/>
          <w:bCs/>
          <w:kern w:val="0"/>
          <w14:ligatures w14:val="none"/>
        </w:rPr>
        <w:t>2 to 3 million eligible Texans aren't registered at all</w:t>
      </w:r>
      <w:r w:rsidRPr="006E01DA">
        <w:rPr>
          <w:rFonts w:ascii="Times New Roman" w:eastAsia="Times New Roman" w:hAnsi="Times New Roman" w:cs="Times New Roman"/>
          <w:kern w:val="0"/>
          <w14:ligatures w14:val="none"/>
        </w:rPr>
        <w:t xml:space="preserve"> — disproportionately Hispanic and young, statewide.</w:t>
      </w:r>
    </w:p>
    <w:p w14:paraId="111CB9E2" w14:textId="77777777" w:rsidR="006E01DA" w:rsidRPr="006E01DA" w:rsidRDefault="006E01DA" w:rsidP="006E01D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Reduced early-voting sites</w:t>
      </w:r>
      <w:r w:rsidRPr="006E01DA">
        <w:rPr>
          <w:rFonts w:ascii="Times New Roman" w:eastAsia="Times New Roman" w:hAnsi="Times New Roman" w:cs="Times New Roman"/>
          <w:kern w:val="0"/>
          <w14:ligatures w14:val="none"/>
        </w:rPr>
        <w:t xml:space="preserve"> — Tarrant County commissioners cut early voting locations ahead of the 2025 election, a move Tarrant County's Democratic Party chair characterized as disenfranchising, regardless of the eventual turnout number.</w:t>
      </w:r>
    </w:p>
    <w:p w14:paraId="1613C262"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The county the index says faces real structural barriers to voting is, not coincidentally, also the county where a demographic shift this dramatic has produced a much smaller electoral shift than population change alone would predict.</w:t>
      </w:r>
    </w:p>
    <w:p w14:paraId="0F14F4AF" w14:textId="77777777" w:rsidR="006E01DA" w:rsidRPr="006E01DA" w:rsidRDefault="006E01DA" w:rsidP="006E01D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01DA">
        <w:rPr>
          <w:rFonts w:ascii="Times New Roman" w:eastAsia="Times New Roman" w:hAnsi="Times New Roman" w:cs="Times New Roman"/>
          <w:b/>
          <w:bCs/>
          <w:kern w:val="0"/>
          <w:sz w:val="36"/>
          <w:szCs w:val="36"/>
          <w14:ligatures w14:val="none"/>
        </w:rPr>
        <w:t>Then look at health outcomes</w:t>
      </w:r>
    </w:p>
    <w:p w14:paraId="31FB9133"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This is the part that tends to surprise people, so here's the research plainly, without editorializing:</w:t>
      </w:r>
    </w:p>
    <w:p w14:paraId="1AFE3123" w14:textId="77777777" w:rsidR="006E01DA" w:rsidRPr="006E01DA" w:rsidRDefault="006E01DA" w:rsidP="006E01D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Schraufnagel (2023),</w:t>
      </w:r>
      <w:r w:rsidRPr="006E01DA">
        <w:rPr>
          <w:rFonts w:ascii="Times New Roman" w:eastAsia="Times New Roman" w:hAnsi="Times New Roman" w:cs="Times New Roman"/>
          <w:kern w:val="0"/>
          <w14:ligatures w14:val="none"/>
        </w:rPr>
        <w:t xml:space="preserve"> </w:t>
      </w:r>
      <w:r w:rsidRPr="006E01DA">
        <w:rPr>
          <w:rFonts w:ascii="Times New Roman" w:eastAsia="Times New Roman" w:hAnsi="Times New Roman" w:cs="Times New Roman"/>
          <w:i/>
          <w:iCs/>
          <w:kern w:val="0"/>
          <w14:ligatures w14:val="none"/>
        </w:rPr>
        <w:t>State &amp; Local Government Review</w:t>
      </w:r>
      <w:r w:rsidRPr="006E01DA">
        <w:rPr>
          <w:rFonts w:ascii="Times New Roman" w:eastAsia="Times New Roman" w:hAnsi="Times New Roman" w:cs="Times New Roman"/>
          <w:kern w:val="0"/>
          <w14:ligatures w14:val="none"/>
        </w:rPr>
        <w:t xml:space="preserve"> — used the Cost of Voting Index across 25 years of data, controlling for income and education, and found a robust statistical relationship between voting restrictions and a state's public health scores.</w:t>
      </w:r>
    </w:p>
    <w:p w14:paraId="24AFDCDD" w14:textId="77777777" w:rsidR="006E01DA" w:rsidRPr="006E01DA" w:rsidRDefault="006E01DA" w:rsidP="006E01D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Avila et al. (2021),</w:t>
      </w:r>
      <w:r w:rsidRPr="006E01DA">
        <w:rPr>
          <w:rFonts w:ascii="Times New Roman" w:eastAsia="Times New Roman" w:hAnsi="Times New Roman" w:cs="Times New Roman"/>
          <w:kern w:val="0"/>
          <w14:ligatures w14:val="none"/>
        </w:rPr>
        <w:t xml:space="preserve"> </w:t>
      </w:r>
      <w:r w:rsidRPr="006E01DA">
        <w:rPr>
          <w:rFonts w:ascii="Times New Roman" w:eastAsia="Times New Roman" w:hAnsi="Times New Roman" w:cs="Times New Roman"/>
          <w:i/>
          <w:iCs/>
          <w:kern w:val="0"/>
          <w14:ligatures w14:val="none"/>
        </w:rPr>
        <w:t>The Lancet Regional Health</w:t>
      </w:r>
      <w:r w:rsidRPr="006E01DA">
        <w:rPr>
          <w:rFonts w:ascii="Times New Roman" w:eastAsia="Times New Roman" w:hAnsi="Times New Roman" w:cs="Times New Roman"/>
          <w:kern w:val="0"/>
          <w14:ligatures w14:val="none"/>
        </w:rPr>
        <w:t xml:space="preserve"> — each one-standard-deviation increase in a state's COVI score raised the odds of being uninsured by 25% (n = 242,727). The effect was largest among Black Americans and low-income households.</w:t>
      </w:r>
    </w:p>
    <w:p w14:paraId="09B8D943" w14:textId="77777777" w:rsidR="006E01DA" w:rsidRPr="006E01DA" w:rsidRDefault="006E01DA" w:rsidP="006E01D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Pabayo et al. (2022),</w:t>
      </w:r>
      <w:r w:rsidRPr="006E01DA">
        <w:rPr>
          <w:rFonts w:ascii="Times New Roman" w:eastAsia="Times New Roman" w:hAnsi="Times New Roman" w:cs="Times New Roman"/>
          <w:kern w:val="0"/>
          <w14:ligatures w14:val="none"/>
        </w:rPr>
        <w:t xml:space="preserve"> </w:t>
      </w:r>
      <w:r w:rsidRPr="006E01DA">
        <w:rPr>
          <w:rFonts w:ascii="Times New Roman" w:eastAsia="Times New Roman" w:hAnsi="Times New Roman" w:cs="Times New Roman"/>
          <w:i/>
          <w:iCs/>
          <w:kern w:val="0"/>
          <w14:ligatures w14:val="none"/>
        </w:rPr>
        <w:t>PLOS ONE</w:t>
      </w:r>
      <w:r w:rsidRPr="006E01DA">
        <w:rPr>
          <w:rFonts w:ascii="Times New Roman" w:eastAsia="Times New Roman" w:hAnsi="Times New Roman" w:cs="Times New Roman"/>
          <w:kern w:val="0"/>
          <w14:ligatures w14:val="none"/>
        </w:rPr>
        <w:t xml:space="preserve"> — higher COVI scores were associated with higher COVID-19 case and mortality rates at the county level, strongest in counties with larger Black populations.</w:t>
      </w:r>
    </w:p>
    <w:p w14:paraId="1373A40D"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The proposed mechanism isn't mysterious: people vote on Medicaid expansion, insurance regulation, and public health funding. When structural barriers keep eligible voters — disproportionately low-income and voters of color — from the polls, those policies end up with fewer political champions.</w:t>
      </w:r>
    </w:p>
    <w:p w14:paraId="56694FDA" w14:textId="77777777" w:rsidR="006E01DA" w:rsidRPr="006E01DA" w:rsidRDefault="006E01DA" w:rsidP="006E01D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01DA">
        <w:rPr>
          <w:rFonts w:ascii="Times New Roman" w:eastAsia="Times New Roman" w:hAnsi="Times New Roman" w:cs="Times New Roman"/>
          <w:b/>
          <w:bCs/>
          <w:kern w:val="0"/>
          <w:sz w:val="36"/>
          <w:szCs w:val="36"/>
          <w14:ligatures w14:val="none"/>
        </w:rPr>
        <w:lastRenderedPageBreak/>
        <w:t>Then look at what it costs the state's reputation</w:t>
      </w:r>
    </w:p>
    <w:p w14:paraId="212942D4"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 xml:space="preserve">Texas's 2026 CNBC business rankings, released this week, tell an odd story: </w:t>
      </w:r>
      <w:r w:rsidRPr="006E01DA">
        <w:rPr>
          <w:rFonts w:ascii="Times New Roman" w:eastAsia="Times New Roman" w:hAnsi="Times New Roman" w:cs="Times New Roman"/>
          <w:b/>
          <w:bCs/>
          <w:kern w:val="0"/>
          <w14:ligatures w14:val="none"/>
        </w:rPr>
        <w:t>#4 for overall business climate</w:t>
      </w:r>
      <w:r w:rsidRPr="006E01DA">
        <w:rPr>
          <w:rFonts w:ascii="Times New Roman" w:eastAsia="Times New Roman" w:hAnsi="Times New Roman" w:cs="Times New Roman"/>
          <w:kern w:val="0"/>
          <w14:ligatures w14:val="none"/>
        </w:rPr>
        <w:t xml:space="preserve">, but </w:t>
      </w:r>
      <w:r w:rsidRPr="006E01DA">
        <w:rPr>
          <w:rFonts w:ascii="Times New Roman" w:eastAsia="Times New Roman" w:hAnsi="Times New Roman" w:cs="Times New Roman"/>
          <w:b/>
          <w:bCs/>
          <w:kern w:val="0"/>
          <w14:ligatures w14:val="none"/>
        </w:rPr>
        <w:t>#49 for Quality of Life</w:t>
      </w:r>
      <w:r w:rsidRPr="006E01DA">
        <w:rPr>
          <w:rFonts w:ascii="Times New Roman" w:eastAsia="Times New Roman" w:hAnsi="Times New Roman" w:cs="Times New Roman"/>
          <w:kern w:val="0"/>
          <w14:ligatures w14:val="none"/>
        </w:rPr>
        <w:t xml:space="preserve"> — a category that explicitly folds in voting-rights data from the Cost of Voting Index. CNBC's Scott Cohn cited poor healthcare access, high crime, and a lack of inclusiveness. Ohio took the #1 overall spot this year in part </w:t>
      </w:r>
      <w:r w:rsidRPr="006E01DA">
        <w:rPr>
          <w:rFonts w:ascii="Times New Roman" w:eastAsia="Times New Roman" w:hAnsi="Times New Roman" w:cs="Times New Roman"/>
          <w:i/>
          <w:iCs/>
          <w:kern w:val="0"/>
          <w14:ligatures w14:val="none"/>
        </w:rPr>
        <w:t>because</w:t>
      </w:r>
      <w:r w:rsidRPr="006E01DA">
        <w:rPr>
          <w:rFonts w:ascii="Times New Roman" w:eastAsia="Times New Roman" w:hAnsi="Times New Roman" w:cs="Times New Roman"/>
          <w:kern w:val="0"/>
          <w14:ligatures w14:val="none"/>
        </w:rPr>
        <w:t xml:space="preserve"> Texas's #49 Quality of Life score cost it the top ranking — despite Texas ranking #1 for workforce and #2 for economy.</w:t>
      </w:r>
    </w:p>
    <w:p w14:paraId="46F57051"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The broader scorecard tells a consistent story: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4"/>
        <w:gridCol w:w="4405"/>
        <w:gridCol w:w="2891"/>
      </w:tblGrid>
      <w:tr w:rsidR="006E01DA" w:rsidRPr="006E01DA" w14:paraId="6E4F13DD" w14:textId="77777777">
        <w:trPr>
          <w:tblHeader/>
          <w:tblCellSpacing w:w="15" w:type="dxa"/>
        </w:trPr>
        <w:tc>
          <w:tcPr>
            <w:tcW w:w="0" w:type="auto"/>
            <w:vAlign w:val="center"/>
            <w:hideMark/>
          </w:tcPr>
          <w:p w14:paraId="50E2C132"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Metric</w:t>
            </w:r>
          </w:p>
        </w:tc>
        <w:tc>
          <w:tcPr>
            <w:tcW w:w="0" w:type="auto"/>
            <w:vAlign w:val="center"/>
            <w:hideMark/>
          </w:tcPr>
          <w:p w14:paraId="261A78FA"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Texas rank/figure</w:t>
            </w:r>
          </w:p>
        </w:tc>
        <w:tc>
          <w:tcPr>
            <w:tcW w:w="0" w:type="auto"/>
            <w:vAlign w:val="center"/>
            <w:hideMark/>
          </w:tcPr>
          <w:p w14:paraId="609FD22E" w14:textId="77777777" w:rsidR="006E01DA" w:rsidRPr="006E01DA" w:rsidRDefault="006E01DA" w:rsidP="006E01DA">
            <w:pPr>
              <w:spacing w:after="0" w:line="240" w:lineRule="auto"/>
              <w:jc w:val="center"/>
              <w:rPr>
                <w:rFonts w:ascii="Times New Roman" w:eastAsia="Times New Roman" w:hAnsi="Times New Roman" w:cs="Times New Roman"/>
                <w:b/>
                <w:bCs/>
                <w:kern w:val="0"/>
                <w14:ligatures w14:val="none"/>
              </w:rPr>
            </w:pPr>
            <w:r w:rsidRPr="006E01DA">
              <w:rPr>
                <w:rFonts w:ascii="Times New Roman" w:eastAsia="Times New Roman" w:hAnsi="Times New Roman" w:cs="Times New Roman"/>
                <w:b/>
                <w:bCs/>
                <w:kern w:val="0"/>
                <w14:ligatures w14:val="none"/>
              </w:rPr>
              <w:t>Source</w:t>
            </w:r>
          </w:p>
        </w:tc>
      </w:tr>
      <w:tr w:rsidR="006E01DA" w:rsidRPr="006E01DA" w14:paraId="6290776B" w14:textId="77777777">
        <w:trPr>
          <w:tblCellSpacing w:w="15" w:type="dxa"/>
        </w:trPr>
        <w:tc>
          <w:tcPr>
            <w:tcW w:w="0" w:type="auto"/>
            <w:vAlign w:val="center"/>
            <w:hideMark/>
          </w:tcPr>
          <w:p w14:paraId="6AB9E75D"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Quality of Life</w:t>
            </w:r>
          </w:p>
        </w:tc>
        <w:tc>
          <w:tcPr>
            <w:tcW w:w="0" w:type="auto"/>
            <w:vAlign w:val="center"/>
            <w:hideMark/>
          </w:tcPr>
          <w:p w14:paraId="78EDD225"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#49</w:t>
            </w:r>
          </w:p>
        </w:tc>
        <w:tc>
          <w:tcPr>
            <w:tcW w:w="0" w:type="auto"/>
            <w:vAlign w:val="center"/>
            <w:hideMark/>
          </w:tcPr>
          <w:p w14:paraId="56A3BCD7"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CNBC 2026</w:t>
            </w:r>
          </w:p>
        </w:tc>
      </w:tr>
      <w:tr w:rsidR="006E01DA" w:rsidRPr="006E01DA" w14:paraId="62DB68BA" w14:textId="77777777">
        <w:trPr>
          <w:tblCellSpacing w:w="15" w:type="dxa"/>
        </w:trPr>
        <w:tc>
          <w:tcPr>
            <w:tcW w:w="0" w:type="auto"/>
            <w:vAlign w:val="center"/>
            <w:hideMark/>
          </w:tcPr>
          <w:p w14:paraId="5B42329D"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Healthcare</w:t>
            </w:r>
          </w:p>
        </w:tc>
        <w:tc>
          <w:tcPr>
            <w:tcW w:w="0" w:type="auto"/>
            <w:vAlign w:val="center"/>
            <w:hideMark/>
          </w:tcPr>
          <w:p w14:paraId="159C9CB6"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#50 (dead last)</w:t>
            </w:r>
          </w:p>
        </w:tc>
        <w:tc>
          <w:tcPr>
            <w:tcW w:w="0" w:type="auto"/>
            <w:vAlign w:val="center"/>
            <w:hideMark/>
          </w:tcPr>
          <w:p w14:paraId="3434A645"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Bankrate Best States 2025</w:t>
            </w:r>
          </w:p>
        </w:tc>
      </w:tr>
      <w:tr w:rsidR="006E01DA" w:rsidRPr="006E01DA" w14:paraId="0C9D3CE3" w14:textId="77777777">
        <w:trPr>
          <w:tblCellSpacing w:w="15" w:type="dxa"/>
        </w:trPr>
        <w:tc>
          <w:tcPr>
            <w:tcW w:w="0" w:type="auto"/>
            <w:vAlign w:val="center"/>
            <w:hideMark/>
          </w:tcPr>
          <w:p w14:paraId="164D823D"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Health Outcomes</w:t>
            </w:r>
          </w:p>
        </w:tc>
        <w:tc>
          <w:tcPr>
            <w:tcW w:w="0" w:type="auto"/>
            <w:vAlign w:val="center"/>
            <w:hideMark/>
          </w:tcPr>
          <w:p w14:paraId="368A0965"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#41</w:t>
            </w:r>
          </w:p>
        </w:tc>
        <w:tc>
          <w:tcPr>
            <w:tcW w:w="0" w:type="auto"/>
            <w:vAlign w:val="center"/>
            <w:hideMark/>
          </w:tcPr>
          <w:p w14:paraId="68973A1C"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America's Health Rankings 2025</w:t>
            </w:r>
          </w:p>
        </w:tc>
      </w:tr>
      <w:tr w:rsidR="006E01DA" w:rsidRPr="006E01DA" w14:paraId="5867A02C" w14:textId="77777777">
        <w:trPr>
          <w:tblCellSpacing w:w="15" w:type="dxa"/>
        </w:trPr>
        <w:tc>
          <w:tcPr>
            <w:tcW w:w="0" w:type="auto"/>
            <w:vAlign w:val="center"/>
            <w:hideMark/>
          </w:tcPr>
          <w:p w14:paraId="0735757C"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Best State to Live</w:t>
            </w:r>
          </w:p>
        </w:tc>
        <w:tc>
          <w:tcPr>
            <w:tcW w:w="0" w:type="auto"/>
            <w:vAlign w:val="center"/>
            <w:hideMark/>
          </w:tcPr>
          <w:p w14:paraId="28E8BF2F"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#37</w:t>
            </w:r>
          </w:p>
        </w:tc>
        <w:tc>
          <w:tcPr>
            <w:tcW w:w="0" w:type="auto"/>
            <w:vAlign w:val="center"/>
            <w:hideMark/>
          </w:tcPr>
          <w:p w14:paraId="03FB3D34"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WalletHub 2024</w:t>
            </w:r>
          </w:p>
        </w:tc>
      </w:tr>
      <w:tr w:rsidR="006E01DA" w:rsidRPr="006E01DA" w14:paraId="6FBA0104" w14:textId="77777777">
        <w:trPr>
          <w:tblCellSpacing w:w="15" w:type="dxa"/>
        </w:trPr>
        <w:tc>
          <w:tcPr>
            <w:tcW w:w="0" w:type="auto"/>
            <w:vAlign w:val="center"/>
            <w:hideMark/>
          </w:tcPr>
          <w:p w14:paraId="1A789F3D"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Poverty rate</w:t>
            </w:r>
          </w:p>
        </w:tc>
        <w:tc>
          <w:tcPr>
            <w:tcW w:w="0" w:type="auto"/>
            <w:vAlign w:val="center"/>
            <w:hideMark/>
          </w:tcPr>
          <w:p w14:paraId="2081A62D"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13.4% (nat'l avg. 12.1%; Fort Worth families 9.8%)</w:t>
            </w:r>
          </w:p>
        </w:tc>
        <w:tc>
          <w:tcPr>
            <w:tcW w:w="0" w:type="auto"/>
            <w:vAlign w:val="center"/>
            <w:hideMark/>
          </w:tcPr>
          <w:p w14:paraId="28D0DCF9"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Census ACS 2024</w:t>
            </w:r>
          </w:p>
        </w:tc>
      </w:tr>
      <w:tr w:rsidR="006E01DA" w:rsidRPr="006E01DA" w14:paraId="6B4A29F3" w14:textId="77777777">
        <w:trPr>
          <w:tblCellSpacing w:w="15" w:type="dxa"/>
        </w:trPr>
        <w:tc>
          <w:tcPr>
            <w:tcW w:w="0" w:type="auto"/>
            <w:vAlign w:val="center"/>
            <w:hideMark/>
          </w:tcPr>
          <w:p w14:paraId="4DC5D802"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Domestic in-migration</w:t>
            </w:r>
          </w:p>
        </w:tc>
        <w:tc>
          <w:tcPr>
            <w:tcW w:w="0" w:type="auto"/>
            <w:vAlign w:val="center"/>
            <w:hideMark/>
          </w:tcPr>
          <w:p w14:paraId="39FCB199"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Down from 222,154 (2022) to 67,299 (2025)</w:t>
            </w:r>
          </w:p>
        </w:tc>
        <w:tc>
          <w:tcPr>
            <w:tcW w:w="0" w:type="auto"/>
            <w:vAlign w:val="center"/>
            <w:hideMark/>
          </w:tcPr>
          <w:p w14:paraId="2E361180" w14:textId="77777777" w:rsidR="006E01DA" w:rsidRPr="006E01DA" w:rsidRDefault="006E01DA" w:rsidP="006E01DA">
            <w:pPr>
              <w:spacing w:after="0"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Census Vintage 2025</w:t>
            </w:r>
          </w:p>
        </w:tc>
      </w:tr>
    </w:tbl>
    <w:p w14:paraId="17382FF0"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Texas has the tax advantage. It doesn't have the quality-of-life advantage — and the migration numbers suggest people are starting to notice.</w:t>
      </w:r>
    </w:p>
    <w:p w14:paraId="6193C9CD" w14:textId="77777777" w:rsidR="006E01DA" w:rsidRPr="006E01DA" w:rsidRDefault="006E01DA" w:rsidP="006E01D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01DA">
        <w:rPr>
          <w:rFonts w:ascii="Times New Roman" w:eastAsia="Times New Roman" w:hAnsi="Times New Roman" w:cs="Times New Roman"/>
          <w:b/>
          <w:bCs/>
          <w:kern w:val="0"/>
          <w:sz w:val="36"/>
          <w:szCs w:val="36"/>
          <w14:ligatures w14:val="none"/>
        </w:rPr>
        <w:t>The reforms already exist — and Republican-led states adopted them</w:t>
      </w:r>
    </w:p>
    <w:p w14:paraId="7DB19F7A"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This is the part that undercuts the idea that fixing any of this requires some partisan leap. Every reform below was adopted by a Republican-led state, and every one saves money. Texas has implemented none of them statewide:</w:t>
      </w:r>
    </w:p>
    <w:p w14:paraId="223FFBA4" w14:textId="77777777" w:rsidR="006E01DA" w:rsidRPr="006E01DA" w:rsidRDefault="006E01DA" w:rsidP="006E01D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Online voter registration</w:t>
      </w:r>
      <w:r w:rsidRPr="006E01DA">
        <w:rPr>
          <w:rFonts w:ascii="Times New Roman" w:eastAsia="Times New Roman" w:hAnsi="Times New Roman" w:cs="Times New Roman"/>
          <w:kern w:val="0"/>
          <w14:ligatures w14:val="none"/>
        </w:rPr>
        <w:t xml:space="preserve"> — Arizona (2002), Georgia, Florida, Utah, Kansas, Louisiana. Cost per registration: 3¢ online vs. 83¢ on paper (Maricopa County, AZ), which saved the equivalent of 8 full-time staff positions in year one. 40 states have this. Texas is one of 7 that don't.</w:t>
      </w:r>
    </w:p>
    <w:p w14:paraId="0BA580D9" w14:textId="77777777" w:rsidR="006E01DA" w:rsidRPr="006E01DA" w:rsidRDefault="006E01DA" w:rsidP="006E01D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Automatic voter registration</w:t>
      </w:r>
      <w:r w:rsidRPr="006E01DA">
        <w:rPr>
          <w:rFonts w:ascii="Times New Roman" w:eastAsia="Times New Roman" w:hAnsi="Times New Roman" w:cs="Times New Roman"/>
          <w:kern w:val="0"/>
          <w14:ligatures w14:val="none"/>
        </w:rPr>
        <w:t xml:space="preserve"> — Georgia, Alaska, Utah, West Virginia, Arkansas. Georgia's registration rate nearly doubled; Delaware saved $200,000 in year one, partly from fewer provisional ballots.</w:t>
      </w:r>
    </w:p>
    <w:p w14:paraId="674CB622" w14:textId="77777777" w:rsidR="006E01DA" w:rsidRPr="006E01DA" w:rsidRDefault="006E01DA" w:rsidP="006E01D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t>County-wide vote centers</w:t>
      </w:r>
      <w:r w:rsidRPr="006E01DA">
        <w:rPr>
          <w:rFonts w:ascii="Times New Roman" w:eastAsia="Times New Roman" w:hAnsi="Times New Roman" w:cs="Times New Roman"/>
          <w:kern w:val="0"/>
          <w14:ligatures w14:val="none"/>
        </w:rPr>
        <w:t xml:space="preserve"> — Utah, Arizona, Indiana, and already 99 Texas counties, including Dallas, Harris, and Bexar. Extending it statewide would cut per-precinct costs and eliminate wrong-precinct rejections.</w:t>
      </w:r>
    </w:p>
    <w:p w14:paraId="04F42420" w14:textId="77777777" w:rsidR="006E01DA" w:rsidRPr="006E01DA" w:rsidRDefault="006E01DA" w:rsidP="006E01D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b/>
          <w:bCs/>
          <w:kern w:val="0"/>
          <w14:ligatures w14:val="none"/>
        </w:rPr>
        <w:lastRenderedPageBreak/>
        <w:t>No-excuse absentee voting</w:t>
      </w:r>
      <w:r w:rsidRPr="006E01DA">
        <w:rPr>
          <w:rFonts w:ascii="Times New Roman" w:eastAsia="Times New Roman" w:hAnsi="Times New Roman" w:cs="Times New Roman"/>
          <w:kern w:val="0"/>
          <w14:ligatures w14:val="none"/>
        </w:rPr>
        <w:t xml:space="preserve"> — Florida (since 1981), Georgia, Montana, Iowa, Kansas, North Carolina. Florida has run this for 45 years under Republican leadership. Adopting it in Texas would likely move the state's COVI rank several positions on its own.</w:t>
      </w:r>
    </w:p>
    <w:p w14:paraId="251A9713"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 xml:space="preserve">And it isn't just incremental in other states — it's been fast. </w:t>
      </w:r>
      <w:r w:rsidRPr="006E01DA">
        <w:rPr>
          <w:rFonts w:ascii="Times New Roman" w:eastAsia="Times New Roman" w:hAnsi="Times New Roman" w:cs="Times New Roman"/>
          <w:b/>
          <w:bCs/>
          <w:kern w:val="0"/>
          <w14:ligatures w14:val="none"/>
        </w:rPr>
        <w:t>Virginia</w:t>
      </w:r>
      <w:r w:rsidRPr="006E01DA">
        <w:rPr>
          <w:rFonts w:ascii="Times New Roman" w:eastAsia="Times New Roman" w:hAnsi="Times New Roman" w:cs="Times New Roman"/>
          <w:kern w:val="0"/>
          <w14:ligatures w14:val="none"/>
        </w:rPr>
        <w:t xml:space="preserve"> added automatic registration, same-day registration, and an Election Day holiday in 2020, moving from #47 to #18 in one cycle. </w:t>
      </w:r>
      <w:r w:rsidRPr="006E01DA">
        <w:rPr>
          <w:rFonts w:ascii="Times New Roman" w:eastAsia="Times New Roman" w:hAnsi="Times New Roman" w:cs="Times New Roman"/>
          <w:b/>
          <w:bCs/>
          <w:kern w:val="0"/>
          <w14:ligatures w14:val="none"/>
        </w:rPr>
        <w:t>Michigan</w:t>
      </w:r>
      <w:r w:rsidRPr="006E01DA">
        <w:rPr>
          <w:rFonts w:ascii="Times New Roman" w:eastAsia="Times New Roman" w:hAnsi="Times New Roman" w:cs="Times New Roman"/>
          <w:kern w:val="0"/>
          <w14:ligatures w14:val="none"/>
        </w:rPr>
        <w:t xml:space="preserve"> added the same trio by ballot initiative in 2018, with 67% voter support, moving from #40 to #21.</w:t>
      </w:r>
    </w:p>
    <w:p w14:paraId="08227744"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kern w:val="0"/>
          <w14:ligatures w14:val="none"/>
        </w:rPr>
        <w:t>The laws are measurable. The costs — in turnout, in health, in reputation — are real. And the fixes have already been tested, in red states, at a profit.</w:t>
      </w:r>
    </w:p>
    <w:p w14:paraId="2D462A7F" w14:textId="77777777" w:rsidR="006E01DA" w:rsidRPr="006E01DA" w:rsidRDefault="0048431D" w:rsidP="006E01DA">
      <w:pPr>
        <w:spacing w:after="0" w:line="240" w:lineRule="auto"/>
        <w:rPr>
          <w:rFonts w:ascii="Times New Roman" w:eastAsia="Times New Roman" w:hAnsi="Times New Roman" w:cs="Times New Roman"/>
          <w:kern w:val="0"/>
          <w14:ligatures w14:val="none"/>
        </w:rPr>
      </w:pPr>
      <w:r>
        <w:pict w14:anchorId="628FDE53">
          <v:rect id="Horizontal Line 1" o:sp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7D905DA" w14:textId="77777777" w:rsidR="006E01DA" w:rsidRPr="006E01DA" w:rsidRDefault="006E01DA" w:rsidP="006E01DA">
      <w:pPr>
        <w:spacing w:before="100" w:beforeAutospacing="1" w:after="100" w:afterAutospacing="1" w:line="240" w:lineRule="auto"/>
        <w:rPr>
          <w:rFonts w:ascii="Times New Roman" w:eastAsia="Times New Roman" w:hAnsi="Times New Roman" w:cs="Times New Roman"/>
          <w:kern w:val="0"/>
          <w14:ligatures w14:val="none"/>
        </w:rPr>
      </w:pPr>
      <w:r w:rsidRPr="006E01DA">
        <w:rPr>
          <w:rFonts w:ascii="Times New Roman" w:eastAsia="Times New Roman" w:hAnsi="Times New Roman" w:cs="Times New Roman"/>
          <w:i/>
          <w:iCs/>
          <w:kern w:val="0"/>
          <w14:ligatures w14:val="none"/>
        </w:rPr>
        <w:t>Sources: Tarrant County Elections, November 5, 2024 General Election cumulative results; NBC 5 DFW (2024) on 2020 Tarrant County turnout; KERA News (Aug.–Nov. 2025) on Tarrant County polling-site reductions; Dr. Andrea K. Barreiro, SMU, Tarrant County demographic and presidential-vote tables (Wikipedia, "Tarrant County"); Schraufnagel (2023), State &amp; Local Government Review; Avila et al. (2021), The Lancet Regional Health; Pabayo et al. (2022), PLOS ONE; CNBC America's Top States for Business 2026; Bankrate Best States 2025; America's Health Rankings 2025; WalletHub 2024; U.S. Census ACS 2024 and Vintage 2025; Texas Demographics/Census SAIPE, Fort Worth poverty rate.</w:t>
      </w:r>
    </w:p>
    <w:p w14:paraId="21E9F79E" w14:textId="77777777" w:rsidR="00F04725" w:rsidRDefault="00F04725"/>
    <w:sectPr w:rsidR="00F04725" w:rsidSect="00DC297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B4592E" w14:textId="77777777" w:rsidR="0048431D" w:rsidRDefault="0048431D" w:rsidP="000F6706">
      <w:pPr>
        <w:spacing w:after="0" w:line="240" w:lineRule="auto"/>
      </w:pPr>
      <w:r>
        <w:separator/>
      </w:r>
    </w:p>
  </w:endnote>
  <w:endnote w:type="continuationSeparator" w:id="0">
    <w:p w14:paraId="4A10428F" w14:textId="77777777" w:rsidR="0048431D" w:rsidRDefault="0048431D" w:rsidP="000F6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6829658"/>
      <w:docPartObj>
        <w:docPartGallery w:val="Page Numbers (Bottom of Page)"/>
        <w:docPartUnique/>
      </w:docPartObj>
    </w:sdtPr>
    <w:sdtContent>
      <w:p w14:paraId="610D157B" w14:textId="22647ACD" w:rsidR="000F6706" w:rsidRDefault="000F6706" w:rsidP="000803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C01A657" w14:textId="77777777" w:rsidR="000F6706" w:rsidRDefault="000F6706" w:rsidP="000F67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19125346"/>
      <w:docPartObj>
        <w:docPartGallery w:val="Page Numbers (Bottom of Page)"/>
        <w:docPartUnique/>
      </w:docPartObj>
    </w:sdtPr>
    <w:sdtContent>
      <w:p w14:paraId="49C08E54" w14:textId="652F91D9" w:rsidR="000F6706" w:rsidRDefault="000F6706" w:rsidP="000803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57BBC2" w14:textId="0D14391A" w:rsidR="000F6706" w:rsidRPr="000F6706" w:rsidRDefault="000F6706" w:rsidP="000F6706">
    <w:pPr>
      <w:pStyle w:val="Footer"/>
      <w:ind w:right="360"/>
      <w:rPr>
        <w:sz w:val="21"/>
        <w:szCs w:val="21"/>
      </w:rPr>
    </w:pPr>
    <w:r w:rsidRPr="000F6706">
      <w:rPr>
        <w:sz w:val="21"/>
        <w:szCs w:val="21"/>
      </w:rPr>
      <w:t xml:space="preserve">For further </w:t>
    </w:r>
    <w:r w:rsidR="00DA3ABF">
      <w:rPr>
        <w:sz w:val="21"/>
        <w:szCs w:val="21"/>
      </w:rPr>
      <w:t>information</w:t>
    </w:r>
    <w:r w:rsidRPr="000F6706">
      <w:rPr>
        <w:sz w:val="21"/>
        <w:szCs w:val="21"/>
      </w:rPr>
      <w:t xml:space="preserve"> on the work by the National Coalition for Voter Rights:  </w:t>
    </w:r>
    <w:hyperlink r:id="rId1" w:history="1">
      <w:r w:rsidRPr="000F6706">
        <w:rPr>
          <w:rStyle w:val="Hyperlink"/>
          <w:sz w:val="21"/>
          <w:szCs w:val="21"/>
        </w:rPr>
        <w:t>Our Substack Website</w:t>
      </w:r>
    </w:hyperlink>
  </w:p>
  <w:p w14:paraId="0BF67E3C" w14:textId="77777777" w:rsidR="000F6706" w:rsidRDefault="000F6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5FB040" w14:textId="77777777" w:rsidR="0048431D" w:rsidRDefault="0048431D" w:rsidP="000F6706">
      <w:pPr>
        <w:spacing w:after="0" w:line="240" w:lineRule="auto"/>
      </w:pPr>
      <w:r>
        <w:separator/>
      </w:r>
    </w:p>
  </w:footnote>
  <w:footnote w:type="continuationSeparator" w:id="0">
    <w:p w14:paraId="59441982" w14:textId="77777777" w:rsidR="0048431D" w:rsidRDefault="0048431D" w:rsidP="000F67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1B3720"/>
    <w:multiLevelType w:val="multilevel"/>
    <w:tmpl w:val="246E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31725"/>
    <w:multiLevelType w:val="multilevel"/>
    <w:tmpl w:val="2DD6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B2395"/>
    <w:multiLevelType w:val="multilevel"/>
    <w:tmpl w:val="7C62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4F6819"/>
    <w:multiLevelType w:val="multilevel"/>
    <w:tmpl w:val="B3CC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622353">
    <w:abstractNumId w:val="1"/>
  </w:num>
  <w:num w:numId="2" w16cid:durableId="1775401632">
    <w:abstractNumId w:val="3"/>
  </w:num>
  <w:num w:numId="3" w16cid:durableId="1529021513">
    <w:abstractNumId w:val="0"/>
  </w:num>
  <w:num w:numId="4" w16cid:durableId="174372156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DA"/>
    <w:rsid w:val="000F6706"/>
    <w:rsid w:val="00242537"/>
    <w:rsid w:val="00382026"/>
    <w:rsid w:val="004560DF"/>
    <w:rsid w:val="0048431D"/>
    <w:rsid w:val="005634F7"/>
    <w:rsid w:val="005F6E8A"/>
    <w:rsid w:val="006E01DA"/>
    <w:rsid w:val="00781EB7"/>
    <w:rsid w:val="007F3932"/>
    <w:rsid w:val="0089450F"/>
    <w:rsid w:val="008A72A5"/>
    <w:rsid w:val="008F3D10"/>
    <w:rsid w:val="00985FEC"/>
    <w:rsid w:val="009C527A"/>
    <w:rsid w:val="00AA07C3"/>
    <w:rsid w:val="00AA09D7"/>
    <w:rsid w:val="00BB3394"/>
    <w:rsid w:val="00BC5D10"/>
    <w:rsid w:val="00CD5755"/>
    <w:rsid w:val="00DA3ABF"/>
    <w:rsid w:val="00DC297D"/>
    <w:rsid w:val="00DC5C8D"/>
    <w:rsid w:val="00E73211"/>
    <w:rsid w:val="00F04725"/>
    <w:rsid w:val="00FB1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3E2B7A"/>
  <w15:chartTrackingRefBased/>
  <w15:docId w15:val="{B38DF817-2520-F04B-A72E-F42BA809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01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01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1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1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1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01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1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1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1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1DA"/>
    <w:rPr>
      <w:rFonts w:eastAsiaTheme="majorEastAsia" w:cstheme="majorBidi"/>
      <w:color w:val="272727" w:themeColor="text1" w:themeTint="D8"/>
    </w:rPr>
  </w:style>
  <w:style w:type="paragraph" w:styleId="Title">
    <w:name w:val="Title"/>
    <w:basedOn w:val="Normal"/>
    <w:next w:val="Normal"/>
    <w:link w:val="TitleChar"/>
    <w:uiPriority w:val="10"/>
    <w:qFormat/>
    <w:rsid w:val="006E0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1DA"/>
    <w:pPr>
      <w:spacing w:before="160"/>
      <w:jc w:val="center"/>
    </w:pPr>
    <w:rPr>
      <w:i/>
      <w:iCs/>
      <w:color w:val="404040" w:themeColor="text1" w:themeTint="BF"/>
    </w:rPr>
  </w:style>
  <w:style w:type="character" w:customStyle="1" w:styleId="QuoteChar">
    <w:name w:val="Quote Char"/>
    <w:basedOn w:val="DefaultParagraphFont"/>
    <w:link w:val="Quote"/>
    <w:uiPriority w:val="29"/>
    <w:rsid w:val="006E01DA"/>
    <w:rPr>
      <w:i/>
      <w:iCs/>
      <w:color w:val="404040" w:themeColor="text1" w:themeTint="BF"/>
    </w:rPr>
  </w:style>
  <w:style w:type="paragraph" w:styleId="ListParagraph">
    <w:name w:val="List Paragraph"/>
    <w:basedOn w:val="Normal"/>
    <w:uiPriority w:val="34"/>
    <w:qFormat/>
    <w:rsid w:val="006E01DA"/>
    <w:pPr>
      <w:ind w:left="720"/>
      <w:contextualSpacing/>
    </w:pPr>
  </w:style>
  <w:style w:type="character" w:styleId="IntenseEmphasis">
    <w:name w:val="Intense Emphasis"/>
    <w:basedOn w:val="DefaultParagraphFont"/>
    <w:uiPriority w:val="21"/>
    <w:qFormat/>
    <w:rsid w:val="006E01DA"/>
    <w:rPr>
      <w:i/>
      <w:iCs/>
      <w:color w:val="0F4761" w:themeColor="accent1" w:themeShade="BF"/>
    </w:rPr>
  </w:style>
  <w:style w:type="paragraph" w:styleId="IntenseQuote">
    <w:name w:val="Intense Quote"/>
    <w:basedOn w:val="Normal"/>
    <w:next w:val="Normal"/>
    <w:link w:val="IntenseQuoteChar"/>
    <w:uiPriority w:val="30"/>
    <w:qFormat/>
    <w:rsid w:val="006E0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1DA"/>
    <w:rPr>
      <w:i/>
      <w:iCs/>
      <w:color w:val="0F4761" w:themeColor="accent1" w:themeShade="BF"/>
    </w:rPr>
  </w:style>
  <w:style w:type="character" w:styleId="IntenseReference">
    <w:name w:val="Intense Reference"/>
    <w:basedOn w:val="DefaultParagraphFont"/>
    <w:uiPriority w:val="32"/>
    <w:qFormat/>
    <w:rsid w:val="006E01DA"/>
    <w:rPr>
      <w:b/>
      <w:bCs/>
      <w:smallCaps/>
      <w:color w:val="0F4761" w:themeColor="accent1" w:themeShade="BF"/>
      <w:spacing w:val="5"/>
    </w:rPr>
  </w:style>
  <w:style w:type="paragraph" w:styleId="NormalWeb">
    <w:name w:val="Normal (Web)"/>
    <w:basedOn w:val="Normal"/>
    <w:uiPriority w:val="99"/>
    <w:semiHidden/>
    <w:unhideWhenUsed/>
    <w:rsid w:val="006E01D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E01DA"/>
    <w:rPr>
      <w:i/>
      <w:iCs/>
    </w:rPr>
  </w:style>
  <w:style w:type="character" w:styleId="Strong">
    <w:name w:val="Strong"/>
    <w:basedOn w:val="DefaultParagraphFont"/>
    <w:uiPriority w:val="22"/>
    <w:qFormat/>
    <w:rsid w:val="006E01DA"/>
    <w:rPr>
      <w:b/>
      <w:bCs/>
    </w:rPr>
  </w:style>
  <w:style w:type="paragraph" w:styleId="Header">
    <w:name w:val="header"/>
    <w:basedOn w:val="Normal"/>
    <w:link w:val="HeaderChar"/>
    <w:uiPriority w:val="99"/>
    <w:unhideWhenUsed/>
    <w:rsid w:val="000F6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706"/>
  </w:style>
  <w:style w:type="paragraph" w:styleId="Footer">
    <w:name w:val="footer"/>
    <w:basedOn w:val="Normal"/>
    <w:link w:val="FooterChar"/>
    <w:uiPriority w:val="99"/>
    <w:unhideWhenUsed/>
    <w:rsid w:val="000F6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706"/>
  </w:style>
  <w:style w:type="character" w:styleId="Hyperlink">
    <w:name w:val="Hyperlink"/>
    <w:basedOn w:val="DefaultParagraphFont"/>
    <w:uiPriority w:val="99"/>
    <w:unhideWhenUsed/>
    <w:rsid w:val="000F6706"/>
    <w:rPr>
      <w:color w:val="467886" w:themeColor="hyperlink"/>
      <w:u w:val="single"/>
    </w:rPr>
  </w:style>
  <w:style w:type="character" w:styleId="UnresolvedMention">
    <w:name w:val="Unresolved Mention"/>
    <w:basedOn w:val="DefaultParagraphFont"/>
    <w:uiPriority w:val="99"/>
    <w:semiHidden/>
    <w:unhideWhenUsed/>
    <w:rsid w:val="000F6706"/>
    <w:rPr>
      <w:color w:val="605E5C"/>
      <w:shd w:val="clear" w:color="auto" w:fill="E1DFDD"/>
    </w:rPr>
  </w:style>
  <w:style w:type="character" w:styleId="PageNumber">
    <w:name w:val="page number"/>
    <w:basedOn w:val="DefaultParagraphFont"/>
    <w:uiPriority w:val="99"/>
    <w:semiHidden/>
    <w:unhideWhenUsed/>
    <w:rsid w:val="000F6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votinguseitorloseit.substack.com/?utm_campaign=profile_c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Lederer</dc:creator>
  <cp:keywords/>
  <dc:description/>
  <cp:lastModifiedBy>Robin Lederer</cp:lastModifiedBy>
  <cp:revision>3</cp:revision>
  <dcterms:created xsi:type="dcterms:W3CDTF">2026-08-01T18:33:00Z</dcterms:created>
  <dcterms:modified xsi:type="dcterms:W3CDTF">2026-08-01T18:50:00Z</dcterms:modified>
</cp:coreProperties>
</file>