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526BB5" w14:textId="77777777" w:rsidR="00A61F34" w:rsidRDefault="00A53A80">
      <w:pPr>
        <w:pStyle w:val="Title"/>
        <w:spacing w:after="200"/>
      </w:pPr>
      <w:r>
        <w:t>Texas Is #46 Out of 50 States for Voting Access. Here's the Index That Says So.</w:t>
      </w:r>
    </w:p>
    <w:p w14:paraId="6AFAF596" w14:textId="77777777" w:rsidR="00A61F34" w:rsidRDefault="00A53A80">
      <w:pPr>
        <w:spacing w:after="200"/>
      </w:pPr>
      <w:r>
        <w:rPr>
          <w:i/>
          <w:iCs/>
        </w:rPr>
        <w:t>Part 1 of a four-part series on what the research actually shows about voting in Texas.</w:t>
      </w:r>
    </w:p>
    <w:p w14:paraId="38AC7ED8" w14:textId="77777777" w:rsidR="00A61F34" w:rsidRDefault="00A53A80">
      <w:pPr>
        <w:spacing w:after="200"/>
      </w:pPr>
      <w:r>
        <w:t>There's a number that gets repeated a lot in Texas politics — that the state makes it hard to vote — but numbers like that usually arrive without a source. This one has one.</w:t>
      </w:r>
    </w:p>
    <w:p w14:paraId="4C8AE7FB" w14:textId="77777777" w:rsidR="00A61F34" w:rsidRDefault="00A53A80">
      <w:pPr>
        <w:pStyle w:val="Heading1"/>
        <w:spacing w:before="300" w:after="150"/>
      </w:pPr>
      <w:r>
        <w:t>What the Cost of Voting Index actually is</w:t>
      </w:r>
    </w:p>
    <w:p w14:paraId="07F254EA" w14:textId="77777777" w:rsidR="00A61F34" w:rsidRDefault="00A53A80">
      <w:pPr>
        <w:spacing w:after="200"/>
      </w:pPr>
      <w:r>
        <w:t xml:space="preserve">The Cost of Voting Index (COVI) is a nonpartisan, peer-reviewed academic measure, published in the </w:t>
      </w:r>
      <w:r>
        <w:rPr>
          <w:i/>
          <w:iCs/>
        </w:rPr>
        <w:t>Election Law Journal</w:t>
      </w:r>
      <w:r>
        <w:t xml:space="preserve"> since 2018, with data reaching back to 1996. It's updated every election cycle — the current version covers 2026.</w:t>
      </w:r>
    </w:p>
    <w:p w14:paraId="76B0487B" w14:textId="77777777" w:rsidR="00A61F34" w:rsidRDefault="00A53A80">
      <w:pPr>
        <w:spacing w:after="200"/>
      </w:pPr>
      <w:r>
        <w:t>It measures one specific thing: the legal and administrative barriers a state puts between an eligible citizen and a cast ballot, across 11 issue areas and 57 variables. Registration deadlines. Whether you can register online. Drop box availability. ID requirements. Absentee excuse rules. Polling hours. All of it gets weighed and combined — using a statistical method called Principal Component Analysis — into one score per state, ranked 1 (easiest to vote) to 50 (hardest).</w:t>
      </w:r>
    </w:p>
    <w:p w14:paraId="63D98EB8" w14:textId="77777777" w:rsidR="00A61F34" w:rsidRDefault="00A53A80">
      <w:pPr>
        <w:spacing w:after="200"/>
      </w:pPr>
      <w:r>
        <w:t xml:space="preserve">What it does </w:t>
      </w:r>
      <w:r>
        <w:rPr>
          <w:i/>
          <w:iCs/>
        </w:rPr>
        <w:t>not</w:t>
      </w:r>
      <w:r>
        <w:t xml:space="preserve"> measure is who votes, or why, or which party benefits. It's a measure of the obstacle course, not the runners.</w:t>
      </w:r>
    </w:p>
    <w:p w14:paraId="2C45023C" w14:textId="77777777" w:rsidR="00A61F34" w:rsidRDefault="00A53A80">
      <w:pPr>
        <w:pStyle w:val="Heading1"/>
        <w:spacing w:before="300" w:after="150"/>
      </w:pPr>
      <w:r>
        <w:t>Where Texas lands</w:t>
      </w:r>
    </w:p>
    <w:p w14:paraId="6E738605" w14:textId="77777777" w:rsidR="00A61F34" w:rsidRDefault="00A53A80">
      <w:pPr>
        <w:spacing w:after="200"/>
      </w:pPr>
      <w:r>
        <w:rPr>
          <w:b/>
          <w:bCs/>
        </w:rPr>
        <w:t>#46 out of 50.</w:t>
      </w:r>
    </w:p>
    <w:p w14:paraId="60E95FEE" w14:textId="77777777" w:rsidR="00A61F34" w:rsidRDefault="00A53A80">
      <w:pPr>
        <w:spacing w:after="200"/>
      </w:pPr>
      <w:r>
        <w:t>And this isn't a one-time low score. Texas's rank over the life of the index:</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4500"/>
      </w:tblGrid>
      <w:tr w:rsidR="00A61F34" w14:paraId="050ACD79" w14:textId="77777777">
        <w:tc>
          <w:tcPr>
            <w:tcW w:w="4500" w:type="dxa"/>
            <w:shd w:val="clear" w:color="auto" w:fill="1F3864"/>
            <w:tcMar>
              <w:top w:w="80" w:type="dxa"/>
              <w:left w:w="120" w:type="dxa"/>
              <w:bottom w:w="80" w:type="dxa"/>
              <w:right w:w="120" w:type="dxa"/>
            </w:tcMar>
          </w:tcPr>
          <w:p w14:paraId="74121FE0" w14:textId="77777777" w:rsidR="00A61F34" w:rsidRDefault="00A53A80">
            <w:r>
              <w:rPr>
                <w:b/>
                <w:bCs/>
                <w:color w:val="FFFFFF"/>
              </w:rPr>
              <w:t>Year</w:t>
            </w:r>
          </w:p>
        </w:tc>
        <w:tc>
          <w:tcPr>
            <w:tcW w:w="4500" w:type="dxa"/>
            <w:shd w:val="clear" w:color="auto" w:fill="1F3864"/>
            <w:tcMar>
              <w:top w:w="80" w:type="dxa"/>
              <w:left w:w="120" w:type="dxa"/>
              <w:bottom w:w="80" w:type="dxa"/>
              <w:right w:w="120" w:type="dxa"/>
            </w:tcMar>
          </w:tcPr>
          <w:p w14:paraId="765DBC39" w14:textId="77777777" w:rsidR="00A61F34" w:rsidRDefault="00A53A80">
            <w:r>
              <w:rPr>
                <w:b/>
                <w:bCs/>
                <w:color w:val="FFFFFF"/>
              </w:rPr>
              <w:t>Rank</w:t>
            </w:r>
          </w:p>
        </w:tc>
      </w:tr>
      <w:tr w:rsidR="00A61F34" w14:paraId="440B667E" w14:textId="77777777">
        <w:tc>
          <w:tcPr>
            <w:tcW w:w="4500" w:type="dxa"/>
            <w:tcMar>
              <w:top w:w="80" w:type="dxa"/>
              <w:left w:w="120" w:type="dxa"/>
              <w:bottom w:w="80" w:type="dxa"/>
              <w:right w:w="120" w:type="dxa"/>
            </w:tcMar>
          </w:tcPr>
          <w:p w14:paraId="0A794AB1" w14:textId="77777777" w:rsidR="00A61F34" w:rsidRDefault="00A53A80">
            <w:r>
              <w:t>2016</w:t>
            </w:r>
          </w:p>
        </w:tc>
        <w:tc>
          <w:tcPr>
            <w:tcW w:w="4500" w:type="dxa"/>
            <w:tcMar>
              <w:top w:w="80" w:type="dxa"/>
              <w:left w:w="120" w:type="dxa"/>
              <w:bottom w:w="80" w:type="dxa"/>
              <w:right w:w="120" w:type="dxa"/>
            </w:tcMar>
          </w:tcPr>
          <w:p w14:paraId="6A331076" w14:textId="77777777" w:rsidR="00A61F34" w:rsidRDefault="00A53A80">
            <w:r>
              <w:t>#43</w:t>
            </w:r>
          </w:p>
        </w:tc>
      </w:tr>
      <w:tr w:rsidR="00A61F34" w14:paraId="7FBC0471" w14:textId="77777777">
        <w:tc>
          <w:tcPr>
            <w:tcW w:w="4500" w:type="dxa"/>
            <w:tcMar>
              <w:top w:w="80" w:type="dxa"/>
              <w:left w:w="120" w:type="dxa"/>
              <w:bottom w:w="80" w:type="dxa"/>
              <w:right w:w="120" w:type="dxa"/>
            </w:tcMar>
          </w:tcPr>
          <w:p w14:paraId="0467D1A2" w14:textId="77777777" w:rsidR="00A61F34" w:rsidRDefault="00A53A80">
            <w:r>
              <w:t>2020</w:t>
            </w:r>
          </w:p>
        </w:tc>
        <w:tc>
          <w:tcPr>
            <w:tcW w:w="4500" w:type="dxa"/>
            <w:tcMar>
              <w:top w:w="80" w:type="dxa"/>
              <w:left w:w="120" w:type="dxa"/>
              <w:bottom w:w="80" w:type="dxa"/>
              <w:right w:w="120" w:type="dxa"/>
            </w:tcMar>
          </w:tcPr>
          <w:p w14:paraId="1DE1EFDF" w14:textId="77777777" w:rsidR="00A61F34" w:rsidRDefault="00A53A80">
            <w:r>
              <w:t>#50</w:t>
            </w:r>
          </w:p>
        </w:tc>
      </w:tr>
      <w:tr w:rsidR="00A61F34" w14:paraId="51F7BE49" w14:textId="77777777">
        <w:tc>
          <w:tcPr>
            <w:tcW w:w="4500" w:type="dxa"/>
            <w:tcMar>
              <w:top w:w="80" w:type="dxa"/>
              <w:left w:w="120" w:type="dxa"/>
              <w:bottom w:w="80" w:type="dxa"/>
              <w:right w:w="120" w:type="dxa"/>
            </w:tcMar>
          </w:tcPr>
          <w:p w14:paraId="6B03595C" w14:textId="77777777" w:rsidR="00A61F34" w:rsidRDefault="00A53A80">
            <w:r>
              <w:t>2022</w:t>
            </w:r>
          </w:p>
        </w:tc>
        <w:tc>
          <w:tcPr>
            <w:tcW w:w="4500" w:type="dxa"/>
            <w:tcMar>
              <w:top w:w="80" w:type="dxa"/>
              <w:left w:w="120" w:type="dxa"/>
              <w:bottom w:w="80" w:type="dxa"/>
              <w:right w:w="120" w:type="dxa"/>
            </w:tcMar>
          </w:tcPr>
          <w:p w14:paraId="7A88176E" w14:textId="77777777" w:rsidR="00A61F34" w:rsidRDefault="00A53A80">
            <w:r>
              <w:t>#49</w:t>
            </w:r>
          </w:p>
        </w:tc>
      </w:tr>
      <w:tr w:rsidR="00A61F34" w14:paraId="0709A5FF" w14:textId="77777777">
        <w:tc>
          <w:tcPr>
            <w:tcW w:w="4500" w:type="dxa"/>
            <w:tcMar>
              <w:top w:w="80" w:type="dxa"/>
              <w:left w:w="120" w:type="dxa"/>
              <w:bottom w:w="80" w:type="dxa"/>
              <w:right w:w="120" w:type="dxa"/>
            </w:tcMar>
          </w:tcPr>
          <w:p w14:paraId="284BE2F1" w14:textId="77777777" w:rsidR="00A61F34" w:rsidRDefault="00A53A80">
            <w:r>
              <w:t>2024</w:t>
            </w:r>
          </w:p>
        </w:tc>
        <w:tc>
          <w:tcPr>
            <w:tcW w:w="4500" w:type="dxa"/>
            <w:tcMar>
              <w:top w:w="80" w:type="dxa"/>
              <w:left w:w="120" w:type="dxa"/>
              <w:bottom w:w="80" w:type="dxa"/>
              <w:right w:w="120" w:type="dxa"/>
            </w:tcMar>
          </w:tcPr>
          <w:p w14:paraId="024E0B06" w14:textId="77777777" w:rsidR="00A61F34" w:rsidRDefault="00A53A80">
            <w:r>
              <w:t>#48</w:t>
            </w:r>
          </w:p>
        </w:tc>
      </w:tr>
      <w:tr w:rsidR="00A61F34" w14:paraId="799A574B" w14:textId="77777777">
        <w:tc>
          <w:tcPr>
            <w:tcW w:w="4500" w:type="dxa"/>
            <w:tcMar>
              <w:top w:w="80" w:type="dxa"/>
              <w:left w:w="120" w:type="dxa"/>
              <w:bottom w:w="80" w:type="dxa"/>
              <w:right w:w="120" w:type="dxa"/>
            </w:tcMar>
          </w:tcPr>
          <w:p w14:paraId="1831DFB0" w14:textId="77777777" w:rsidR="00A61F34" w:rsidRDefault="00A53A80">
            <w:r>
              <w:t>2026</w:t>
            </w:r>
          </w:p>
        </w:tc>
        <w:tc>
          <w:tcPr>
            <w:tcW w:w="4500" w:type="dxa"/>
            <w:tcMar>
              <w:top w:w="80" w:type="dxa"/>
              <w:left w:w="120" w:type="dxa"/>
              <w:bottom w:w="80" w:type="dxa"/>
              <w:right w:w="120" w:type="dxa"/>
            </w:tcMar>
          </w:tcPr>
          <w:p w14:paraId="4C5F2850" w14:textId="77777777" w:rsidR="00A61F34" w:rsidRDefault="00A53A80">
            <w:r>
              <w:t>#46</w:t>
            </w:r>
          </w:p>
        </w:tc>
      </w:tr>
    </w:tbl>
    <w:p w14:paraId="3113D2C1" w14:textId="77777777" w:rsidR="00A61F34" w:rsidRDefault="00A61F34">
      <w:pPr>
        <w:spacing w:after="200"/>
      </w:pPr>
    </w:p>
    <w:p w14:paraId="60890F5A" w14:textId="77777777" w:rsidR="00A61F34" w:rsidRDefault="00A53A80">
      <w:pPr>
        <w:spacing w:after="200"/>
      </w:pPr>
      <w:r>
        <w:t>The state has moved up a little in the last few cycles, but it has never — not once since 1996 — been outside the bottom 10. The most accessible states this year are Washington, Nevada, California, Oregon, and Illinois. The most restrictive are Mississippi, Arkansas, New Hampshire, Wisconsin, and Texas.</w:t>
      </w:r>
    </w:p>
    <w:p w14:paraId="051ED65A" w14:textId="77777777" w:rsidR="00A61F34" w:rsidRDefault="00A53A80">
      <w:pPr>
        <w:pStyle w:val="Heading1"/>
        <w:spacing w:before="300" w:after="150"/>
      </w:pPr>
      <w:r>
        <w:t>What specifically makes Texas #46</w:t>
      </w:r>
    </w:p>
    <w:p w14:paraId="0B11E855" w14:textId="77777777" w:rsidR="00A61F34" w:rsidRDefault="00A53A80">
      <w:pPr>
        <w:spacing w:after="200"/>
      </w:pPr>
      <w:r>
        <w:t>This isn't vague. It's a list of concrete rules:</w:t>
      </w:r>
    </w:p>
    <w:p w14:paraId="490AA9BE" w14:textId="77777777" w:rsidR="00A61F34" w:rsidRDefault="00A53A80">
      <w:pPr>
        <w:pStyle w:val="ListParagraph"/>
        <w:numPr>
          <w:ilvl w:val="0"/>
          <w:numId w:val="1"/>
        </w:numPr>
        <w:spacing w:after="80"/>
      </w:pPr>
      <w:r>
        <w:rPr>
          <w:b/>
          <w:bCs/>
        </w:rPr>
        <w:t>30-day pre-registration deadline</w:t>
      </w:r>
      <w:r>
        <w:t xml:space="preserve"> — one of the strictest cutoffs in the country</w:t>
      </w:r>
    </w:p>
    <w:p w14:paraId="391EC5F3" w14:textId="77777777" w:rsidR="00A61F34" w:rsidRDefault="00A53A80">
      <w:pPr>
        <w:pStyle w:val="ListParagraph"/>
        <w:numPr>
          <w:ilvl w:val="0"/>
          <w:numId w:val="1"/>
        </w:numPr>
        <w:spacing w:after="80"/>
      </w:pPr>
      <w:r>
        <w:rPr>
          <w:b/>
          <w:bCs/>
        </w:rPr>
        <w:t>No online voter registration</w:t>
      </w:r>
      <w:r>
        <w:t xml:space="preserve"> — one of only 7 states without it; paper forms only</w:t>
      </w:r>
    </w:p>
    <w:p w14:paraId="6C9CD2A4" w14:textId="77777777" w:rsidR="00A61F34" w:rsidRDefault="00A53A80">
      <w:pPr>
        <w:pStyle w:val="ListParagraph"/>
        <w:numPr>
          <w:ilvl w:val="0"/>
          <w:numId w:val="1"/>
        </w:numPr>
        <w:spacing w:after="80"/>
      </w:pPr>
      <w:r>
        <w:rPr>
          <w:b/>
          <w:bCs/>
        </w:rPr>
        <w:lastRenderedPageBreak/>
        <w:t>No automatic registration at the DMV</w:t>
      </w:r>
      <w:r>
        <w:t xml:space="preserve"> — most states enroll you when you get or renew a license; Texas doesn't</w:t>
      </w:r>
    </w:p>
    <w:p w14:paraId="5749D5D6" w14:textId="77777777" w:rsidR="00A61F34" w:rsidRDefault="00A53A80">
      <w:pPr>
        <w:pStyle w:val="ListParagraph"/>
        <w:numPr>
          <w:ilvl w:val="0"/>
          <w:numId w:val="1"/>
        </w:numPr>
        <w:spacing w:after="80"/>
      </w:pPr>
      <w:r>
        <w:rPr>
          <w:b/>
          <w:bCs/>
        </w:rPr>
        <w:t>A stricter photo ID law</w:t>
      </w:r>
      <w:r>
        <w:t xml:space="preserve"> — with a limited list of acceptable documents</w:t>
      </w:r>
    </w:p>
    <w:p w14:paraId="469D611D" w14:textId="77777777" w:rsidR="00A61F34" w:rsidRDefault="00A53A80">
      <w:pPr>
        <w:pStyle w:val="ListParagraph"/>
        <w:numPr>
          <w:ilvl w:val="0"/>
          <w:numId w:val="1"/>
        </w:numPr>
        <w:spacing w:after="80"/>
      </w:pPr>
      <w:r>
        <w:rPr>
          <w:b/>
          <w:bCs/>
        </w:rPr>
        <w:t>An excuse required for an absentee ballot</w:t>
      </w:r>
      <w:r>
        <w:t xml:space="preserve"> — most states now allow no-excuse absentee voting</w:t>
      </w:r>
    </w:p>
    <w:p w14:paraId="1EA35E5E" w14:textId="77777777" w:rsidR="00A61F34" w:rsidRDefault="00A53A80">
      <w:pPr>
        <w:pStyle w:val="ListParagraph"/>
        <w:numPr>
          <w:ilvl w:val="0"/>
          <w:numId w:val="1"/>
        </w:numPr>
        <w:spacing w:after="80"/>
      </w:pPr>
      <w:r>
        <w:rPr>
          <w:b/>
          <w:bCs/>
        </w:rPr>
        <w:t>No statewide ballot drop boxes</w:t>
      </w:r>
      <w:r>
        <w:t xml:space="preserve"> — eliminated after 2020; Texas is 1 of 11 states that prohibit them</w:t>
      </w:r>
    </w:p>
    <w:p w14:paraId="7C6804E7" w14:textId="77777777" w:rsidR="00A61F34" w:rsidRDefault="00A53A80">
      <w:pPr>
        <w:pStyle w:val="ListParagraph"/>
        <w:numPr>
          <w:ilvl w:val="0"/>
          <w:numId w:val="1"/>
        </w:numPr>
        <w:spacing w:after="80"/>
      </w:pPr>
      <w:r>
        <w:rPr>
          <w:b/>
          <w:bCs/>
        </w:rPr>
        <w:t>No all-mail voting option</w:t>
      </w:r>
      <w:r>
        <w:t xml:space="preserve"> — 5 states run elections entirely by mail; Texas isn't one</w:t>
      </w:r>
    </w:p>
    <w:p w14:paraId="3D90FA12" w14:textId="77777777" w:rsidR="00A61F34" w:rsidRDefault="00A53A80">
      <w:pPr>
        <w:pStyle w:val="ListParagraph"/>
        <w:numPr>
          <w:ilvl w:val="0"/>
          <w:numId w:val="1"/>
        </w:numPr>
        <w:spacing w:after="80"/>
      </w:pPr>
      <w:r>
        <w:rPr>
          <w:b/>
          <w:bCs/>
        </w:rPr>
        <w:t>No Election Day holiday</w:t>
      </w:r>
      <w:r>
        <w:t xml:space="preserve"> — most working voters have to vote around a shift</w:t>
      </w:r>
    </w:p>
    <w:p w14:paraId="7DD64A72" w14:textId="77777777" w:rsidR="00A61F34" w:rsidRDefault="00A53A80">
      <w:pPr>
        <w:pStyle w:val="ListParagraph"/>
        <w:numPr>
          <w:ilvl w:val="0"/>
          <w:numId w:val="1"/>
        </w:numPr>
        <w:spacing w:after="80"/>
      </w:pPr>
      <w:r>
        <w:rPr>
          <w:b/>
          <w:bCs/>
        </w:rPr>
        <w:t>Restrictions on voter registration drives</w:t>
      </w:r>
      <w:r>
        <w:t xml:space="preserve"> — third-party registration efforts are heavily limited</w:t>
      </w:r>
    </w:p>
    <w:p w14:paraId="20F2E350" w14:textId="77777777" w:rsidR="00A61F34" w:rsidRDefault="00A53A80">
      <w:pPr>
        <w:pStyle w:val="ListParagraph"/>
        <w:numPr>
          <w:ilvl w:val="0"/>
          <w:numId w:val="1"/>
        </w:numPr>
        <w:spacing w:after="80"/>
      </w:pPr>
      <w:r>
        <w:rPr>
          <w:b/>
          <w:bCs/>
        </w:rPr>
        <w:t>Reduced polling locations in some areas</w:t>
      </w:r>
      <w:r>
        <w:t>, which compounds into longer wait times</w:t>
      </w:r>
    </w:p>
    <w:p w14:paraId="21073D1F" w14:textId="77777777" w:rsidR="00A61F34" w:rsidRDefault="00A53A80">
      <w:pPr>
        <w:pStyle w:val="Heading1"/>
        <w:spacing w:before="300" w:after="150"/>
      </w:pPr>
      <w:r>
        <w:t>The distinction that matters most: registration vs. casting a ballot</w:t>
      </w:r>
    </w:p>
    <w:p w14:paraId="2DC0858F" w14:textId="77777777" w:rsidR="00A61F34" w:rsidRDefault="00A53A80">
      <w:pPr>
        <w:spacing w:after="200"/>
      </w:pPr>
      <w:r>
        <w:t xml:space="preserve">Researchers split these barriers into two categories: </w:t>
      </w:r>
      <w:r>
        <w:rPr>
          <w:b/>
          <w:bCs/>
        </w:rPr>
        <w:t>Voter Registration Cost</w:t>
      </w:r>
      <w:r>
        <w:t xml:space="preserve"> (everything before you're on the rolls) and </w:t>
      </w:r>
      <w:r>
        <w:rPr>
          <w:b/>
          <w:bCs/>
        </w:rPr>
        <w:t>Ballot Casting Cost</w:t>
      </w:r>
      <w:r>
        <w:t xml:space="preserve"> (everything after, on the way to the ballot box).</w:t>
      </w:r>
    </w:p>
    <w:p w14:paraId="4DD09ABC" w14:textId="7A88D341" w:rsidR="00A61F34" w:rsidRDefault="00A53A80">
      <w:pPr>
        <w:spacing w:after="200"/>
      </w:pPr>
      <w:r>
        <w:t xml:space="preserve">Texas is a </w:t>
      </w:r>
      <w:r w:rsidR="00BC0AA5">
        <w:t>top-10</w:t>
      </w:r>
      <w:r>
        <w:t xml:space="preserve"> most-restrictive state nationally on registration — no online option, no automatic registration, that 30-day deadline. On ballot-casting, it's high but not top-10, partly because Texas does offer 12 days of early voting, which takes some pressure off Election Day itself.</w:t>
      </w:r>
    </w:p>
    <w:p w14:paraId="56CD0BB1" w14:textId="77777777" w:rsidR="00A61F34" w:rsidRDefault="00A53A80">
      <w:pPr>
        <w:spacing w:after="200"/>
      </w:pPr>
      <w:r>
        <w:t>That distinction points to where reform would matter most. Of the two costs, registration is the stronger driver of low turnout nationally. It's also the one where Texas has made the fewest changes.</w:t>
      </w:r>
    </w:p>
    <w:p w14:paraId="134666A3" w14:textId="77777777" w:rsidR="00A61F34" w:rsidRDefault="00A53A80">
      <w:pPr>
        <w:pStyle w:val="Heading1"/>
        <w:spacing w:before="300" w:after="150"/>
      </w:pPr>
      <w:r>
        <w:t>Why this matters before we go further</w:t>
      </w:r>
    </w:p>
    <w:p w14:paraId="0EDC2CD2" w14:textId="77777777" w:rsidR="00A61F34" w:rsidRDefault="00A53A80">
      <w:pPr>
        <w:spacing w:after="200"/>
      </w:pPr>
      <w:r>
        <w:t>The next post in this series looks at the fraud claims that get used to justify laws like these — what the actual data show, not the talking points. The one after that connects this ranking to real outcomes: who doesn't vote, what it costs them, and what it costs the state. And the last one covers a specific bill, SB 396, that would move Texas's registration rules in the opposite direction from every reform on this list.</w:t>
      </w:r>
    </w:p>
    <w:p w14:paraId="2FB03135" w14:textId="77777777" w:rsidR="00A61F34" w:rsidRDefault="00A53A80">
      <w:pPr>
        <w:spacing w:after="200"/>
      </w:pPr>
      <w:r>
        <w:t>None of it works as an abstraction. It only means something once you can see exactly which rule does what, and to whom. That's the point of starting here.</w:t>
      </w:r>
    </w:p>
    <w:p w14:paraId="155C8B95" w14:textId="77777777" w:rsidR="00A61F34" w:rsidRDefault="00A61F34">
      <w:pPr>
        <w:pBdr>
          <w:bottom w:val="single" w:sz="6" w:space="0" w:color="999999"/>
        </w:pBdr>
        <w:spacing w:after="200"/>
      </w:pPr>
    </w:p>
    <w:p w14:paraId="1A6397FE" w14:textId="77777777" w:rsidR="00A61F34" w:rsidRDefault="00A53A80">
      <w:pPr>
        <w:spacing w:after="200"/>
      </w:pPr>
      <w:r>
        <w:rPr>
          <w:i/>
          <w:iCs/>
        </w:rPr>
        <w:t>Source: Pomante, Schraufnagel &amp; Li, The Cost of Voting in the American States, published via the Election Law Journal (2018–present); Cost of Voting Index 2026 rankings. Dr. Michael J. Pomante II, University of Michigan / Claremont Graduate University — costofvotingindex.com.</w:t>
      </w:r>
    </w:p>
    <w:sectPr w:rsidR="00A61F34">
      <w:footerReference w:type="even"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4FE12A6" w14:textId="77777777" w:rsidR="00D5661C" w:rsidRDefault="00D5661C" w:rsidP="00D33755">
      <w:r>
        <w:separator/>
      </w:r>
    </w:p>
  </w:endnote>
  <w:endnote w:type="continuationSeparator" w:id="0">
    <w:p w14:paraId="4D2EFC5D" w14:textId="77777777" w:rsidR="00D5661C" w:rsidRDefault="00D5661C" w:rsidP="00D33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31478819"/>
      <w:docPartObj>
        <w:docPartGallery w:val="Page Numbers (Bottom of Page)"/>
        <w:docPartUnique/>
      </w:docPartObj>
    </w:sdtPr>
    <w:sdtContent>
      <w:p w14:paraId="05D312AF" w14:textId="16D5EB3D" w:rsidR="00D33755" w:rsidRDefault="00D33755" w:rsidP="00D337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A8545CA" w14:textId="77777777" w:rsidR="00D33755" w:rsidRDefault="00D33755" w:rsidP="00D3375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18661163"/>
      <w:docPartObj>
        <w:docPartGallery w:val="Page Numbers (Bottom of Page)"/>
        <w:docPartUnique/>
      </w:docPartObj>
    </w:sdtPr>
    <w:sdtContent>
      <w:p w14:paraId="1A1B815F" w14:textId="46E5AE90" w:rsidR="00D33755" w:rsidRDefault="00D33755" w:rsidP="0008034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1EB2CBF" w14:textId="632EC134" w:rsidR="00D33755" w:rsidRPr="00D33755" w:rsidRDefault="00D33755" w:rsidP="00D33755">
    <w:pPr>
      <w:pStyle w:val="Footer"/>
      <w:ind w:right="360"/>
      <w:rPr>
        <w:rStyle w:val="Hyperlink"/>
      </w:rPr>
    </w:pPr>
    <w:r>
      <w:t xml:space="preserve">For further </w:t>
    </w:r>
    <w:r w:rsidR="00874A0D">
      <w:t>information</w:t>
    </w:r>
    <w:r>
      <w:t xml:space="preserve"> on the work of the National Coalition for Voter Rights:  </w:t>
    </w:r>
    <w:r>
      <w:fldChar w:fldCharType="begin"/>
    </w:r>
    <w:r>
      <w:instrText>HYPERLINK "https://votinguseitorloseit.substack.com/?utm_campaign=profile_chips"</w:instrText>
    </w:r>
    <w:r>
      <w:fldChar w:fldCharType="separate"/>
    </w:r>
    <w:r w:rsidRPr="00D33755">
      <w:rPr>
        <w:rStyle w:val="Hyperlink"/>
      </w:rPr>
      <w:t>Our Subst</w:t>
    </w:r>
    <w:r w:rsidRPr="00D33755">
      <w:rPr>
        <w:rStyle w:val="Hyperlink"/>
      </w:rPr>
      <w:t>a</w:t>
    </w:r>
    <w:r w:rsidRPr="00D33755">
      <w:rPr>
        <w:rStyle w:val="Hyperlink"/>
      </w:rPr>
      <w:t xml:space="preserve">ck Website </w:t>
    </w:r>
  </w:p>
  <w:p w14:paraId="4189D8E3" w14:textId="3BB6333B" w:rsidR="00D33755" w:rsidRDefault="00D33755" w:rsidP="00D33755">
    <w:pPr>
      <w:pStyle w:val="Footer"/>
      <w:ind w:right="360"/>
    </w:pP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389070E" w14:textId="77777777" w:rsidR="00D5661C" w:rsidRDefault="00D5661C" w:rsidP="00D33755">
      <w:r>
        <w:separator/>
      </w:r>
    </w:p>
  </w:footnote>
  <w:footnote w:type="continuationSeparator" w:id="0">
    <w:p w14:paraId="5C8055FD" w14:textId="77777777" w:rsidR="00D5661C" w:rsidRDefault="00D5661C" w:rsidP="00D337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C0A10B9"/>
    <w:multiLevelType w:val="hybridMultilevel"/>
    <w:tmpl w:val="89A630A4"/>
    <w:lvl w:ilvl="0" w:tplc="526C4810">
      <w:start w:val="1"/>
      <w:numFmt w:val="decimal"/>
      <w:lvlText w:val="%1."/>
      <w:lvlJc w:val="left"/>
    </w:lvl>
    <w:lvl w:ilvl="1" w:tplc="038C4A5A">
      <w:numFmt w:val="decimal"/>
      <w:lvlText w:val=""/>
      <w:lvlJc w:val="left"/>
    </w:lvl>
    <w:lvl w:ilvl="2" w:tplc="E76EE7CE">
      <w:numFmt w:val="decimal"/>
      <w:lvlText w:val=""/>
      <w:lvlJc w:val="left"/>
    </w:lvl>
    <w:lvl w:ilvl="3" w:tplc="7FF67A6E">
      <w:numFmt w:val="decimal"/>
      <w:lvlText w:val=""/>
      <w:lvlJc w:val="left"/>
    </w:lvl>
    <w:lvl w:ilvl="4" w:tplc="7338CF12">
      <w:numFmt w:val="decimal"/>
      <w:lvlText w:val=""/>
      <w:lvlJc w:val="left"/>
    </w:lvl>
    <w:lvl w:ilvl="5" w:tplc="6CFC8B50">
      <w:numFmt w:val="decimal"/>
      <w:lvlText w:val=""/>
      <w:lvlJc w:val="left"/>
    </w:lvl>
    <w:lvl w:ilvl="6" w:tplc="EB825FAA">
      <w:numFmt w:val="decimal"/>
      <w:lvlText w:val=""/>
      <w:lvlJc w:val="left"/>
    </w:lvl>
    <w:lvl w:ilvl="7" w:tplc="77B6E3DA">
      <w:numFmt w:val="decimal"/>
      <w:lvlText w:val=""/>
      <w:lvlJc w:val="left"/>
    </w:lvl>
    <w:lvl w:ilvl="8" w:tplc="9E42F730">
      <w:numFmt w:val="decimal"/>
      <w:lvlText w:val=""/>
      <w:lvlJc w:val="left"/>
    </w:lvl>
  </w:abstractNum>
  <w:abstractNum w:abstractNumId="1" w15:restartNumberingAfterBreak="0">
    <w:nsid w:val="6019753A"/>
    <w:multiLevelType w:val="hybridMultilevel"/>
    <w:tmpl w:val="F1A029C6"/>
    <w:lvl w:ilvl="0" w:tplc="F9F027B2">
      <w:start w:val="1"/>
      <w:numFmt w:val="bullet"/>
      <w:lvlText w:val="●"/>
      <w:lvlJc w:val="left"/>
      <w:pPr>
        <w:ind w:left="720" w:hanging="360"/>
      </w:pPr>
    </w:lvl>
    <w:lvl w:ilvl="1" w:tplc="49522F3E">
      <w:start w:val="1"/>
      <w:numFmt w:val="bullet"/>
      <w:lvlText w:val="○"/>
      <w:lvlJc w:val="left"/>
      <w:pPr>
        <w:ind w:left="1440" w:hanging="360"/>
      </w:pPr>
    </w:lvl>
    <w:lvl w:ilvl="2" w:tplc="D87E082A">
      <w:start w:val="1"/>
      <w:numFmt w:val="bullet"/>
      <w:lvlText w:val="■"/>
      <w:lvlJc w:val="left"/>
      <w:pPr>
        <w:ind w:left="2160" w:hanging="360"/>
      </w:pPr>
    </w:lvl>
    <w:lvl w:ilvl="3" w:tplc="9056D96E">
      <w:start w:val="1"/>
      <w:numFmt w:val="bullet"/>
      <w:lvlText w:val="●"/>
      <w:lvlJc w:val="left"/>
      <w:pPr>
        <w:ind w:left="2880" w:hanging="360"/>
      </w:pPr>
    </w:lvl>
    <w:lvl w:ilvl="4" w:tplc="DB806568">
      <w:start w:val="1"/>
      <w:numFmt w:val="bullet"/>
      <w:lvlText w:val="○"/>
      <w:lvlJc w:val="left"/>
      <w:pPr>
        <w:ind w:left="3600" w:hanging="360"/>
      </w:pPr>
    </w:lvl>
    <w:lvl w:ilvl="5" w:tplc="DC70423A">
      <w:start w:val="1"/>
      <w:numFmt w:val="bullet"/>
      <w:lvlText w:val="■"/>
      <w:lvlJc w:val="left"/>
      <w:pPr>
        <w:ind w:left="4320" w:hanging="360"/>
      </w:pPr>
    </w:lvl>
    <w:lvl w:ilvl="6" w:tplc="1A7EA566">
      <w:start w:val="1"/>
      <w:numFmt w:val="bullet"/>
      <w:lvlText w:val="●"/>
      <w:lvlJc w:val="left"/>
      <w:pPr>
        <w:ind w:left="5040" w:hanging="360"/>
      </w:pPr>
    </w:lvl>
    <w:lvl w:ilvl="7" w:tplc="B296D26A">
      <w:start w:val="1"/>
      <w:numFmt w:val="bullet"/>
      <w:lvlText w:val="●"/>
      <w:lvlJc w:val="left"/>
      <w:pPr>
        <w:ind w:left="5760" w:hanging="360"/>
      </w:pPr>
    </w:lvl>
    <w:lvl w:ilvl="8" w:tplc="B1906D74">
      <w:start w:val="1"/>
      <w:numFmt w:val="bullet"/>
      <w:lvlText w:val="●"/>
      <w:lvlJc w:val="left"/>
      <w:pPr>
        <w:ind w:left="6480" w:hanging="360"/>
      </w:pPr>
    </w:lvl>
  </w:abstractNum>
  <w:num w:numId="1" w16cid:durableId="519976121">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1"/>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F34"/>
    <w:rsid w:val="006C0D99"/>
    <w:rsid w:val="00781EB7"/>
    <w:rsid w:val="00874A0D"/>
    <w:rsid w:val="00A53A80"/>
    <w:rsid w:val="00A61F34"/>
    <w:rsid w:val="00BC0AA5"/>
    <w:rsid w:val="00D33755"/>
    <w:rsid w:val="00D5661C"/>
    <w:rsid w:val="00F352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639DCB"/>
  <w15:docId w15:val="{A6A1E1B8-4831-2746-AE9B-D744142AB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Footer">
    <w:name w:val="footer"/>
    <w:basedOn w:val="Normal"/>
    <w:link w:val="FooterChar"/>
    <w:uiPriority w:val="99"/>
    <w:unhideWhenUsed/>
    <w:rsid w:val="00D33755"/>
    <w:pPr>
      <w:tabs>
        <w:tab w:val="center" w:pos="4680"/>
        <w:tab w:val="right" w:pos="9360"/>
      </w:tabs>
    </w:pPr>
  </w:style>
  <w:style w:type="character" w:customStyle="1" w:styleId="FooterChar">
    <w:name w:val="Footer Char"/>
    <w:basedOn w:val="DefaultParagraphFont"/>
    <w:link w:val="Footer"/>
    <w:uiPriority w:val="99"/>
    <w:rsid w:val="00D33755"/>
  </w:style>
  <w:style w:type="character" w:styleId="PageNumber">
    <w:name w:val="page number"/>
    <w:basedOn w:val="DefaultParagraphFont"/>
    <w:uiPriority w:val="99"/>
    <w:semiHidden/>
    <w:unhideWhenUsed/>
    <w:rsid w:val="00D33755"/>
  </w:style>
  <w:style w:type="paragraph" w:styleId="Header">
    <w:name w:val="header"/>
    <w:basedOn w:val="Normal"/>
    <w:link w:val="HeaderChar"/>
    <w:uiPriority w:val="99"/>
    <w:unhideWhenUsed/>
    <w:rsid w:val="00D33755"/>
    <w:pPr>
      <w:tabs>
        <w:tab w:val="center" w:pos="4680"/>
        <w:tab w:val="right" w:pos="9360"/>
      </w:tabs>
    </w:pPr>
  </w:style>
  <w:style w:type="character" w:customStyle="1" w:styleId="HeaderChar">
    <w:name w:val="Header Char"/>
    <w:basedOn w:val="DefaultParagraphFont"/>
    <w:link w:val="Header"/>
    <w:uiPriority w:val="99"/>
    <w:rsid w:val="00D33755"/>
  </w:style>
  <w:style w:type="character" w:styleId="UnresolvedMention">
    <w:name w:val="Unresolved Mention"/>
    <w:basedOn w:val="DefaultParagraphFont"/>
    <w:uiPriority w:val="99"/>
    <w:semiHidden/>
    <w:unhideWhenUsed/>
    <w:rsid w:val="00D33755"/>
    <w:rPr>
      <w:color w:val="605E5C"/>
      <w:shd w:val="clear" w:color="auto" w:fill="E1DFDD"/>
    </w:rPr>
  </w:style>
  <w:style w:type="character" w:styleId="FollowedHyperlink">
    <w:name w:val="FollowedHyperlink"/>
    <w:basedOn w:val="DefaultParagraphFont"/>
    <w:uiPriority w:val="99"/>
    <w:semiHidden/>
    <w:unhideWhenUsed/>
    <w:rsid w:val="00874A0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641</Words>
  <Characters>3656</Characters>
  <Application>Microsoft Office Word</Application>
  <DocSecurity>0</DocSecurity>
  <Lines>30</Lines>
  <Paragraphs>8</Paragraphs>
  <ScaleCrop>false</ScaleCrop>
  <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Robin Lederer</cp:lastModifiedBy>
  <cp:revision>4</cp:revision>
  <dcterms:created xsi:type="dcterms:W3CDTF">2026-08-01T18:05:00Z</dcterms:created>
  <dcterms:modified xsi:type="dcterms:W3CDTF">2026-08-01T18:49:00Z</dcterms:modified>
</cp:coreProperties>
</file>